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42776-2022 i Gullspångs kommun</w:t>
      </w:r>
    </w:p>
    <w:p>
      <w:r>
        <w:t>Detta dokument behandlar höga naturvärden i avverkningsanmälan A 42776-2022 i Gullspångs kommun. Denna avverkningsanmälan inkom 2022-09-28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svartnande kantarell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42776-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6530623, E 454017 i SWEREF 99 TM.</w:t>
      </w:r>
    </w:p>
    <w:p>
      <w:r>
        <w:rPr>
          <w:b/>
        </w:rPr>
        <w:t>Svartnande kantarell (NT)</w:t>
      </w:r>
      <w:r>
        <w:t xml:space="preserve"> bildar mykorrhiza med ek, hassel och bok. Påträffas på mull- och lerjord i ädellövskog, helst örtrik ek- och hasselblandskog eller bokskog. Troligen något kalkgynnad. Den hotas främst av skogsbruk och artens kända växtplatser måste bevaras med nuvarande slutenhet. Svartnande kantarell är placerad högst upp i Skogsstyrelsens värdepyramid för bedömning av skog med höga naturvärden och globalt rödlistad som nära hotad (NT)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