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29174-2025 i Gullspångs kommun</w:t>
      </w:r>
    </w:p>
    <w:p>
      <w:r>
        <w:t>Detta dokument behandlar höga naturvärden i avverkningsanmälan A 29174-2025 i Gullspångs kommun. Denna avverkningsanmälan inkom 2025-06-13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stare (VU, §4), gulsparv (NT, §4), svartvit flugsnappare (NT, §4), dvärgpipistrell (§4a), järnsparv (§4), näktergal (§4) och vattenfladdermus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86729"/>
            <wp:docPr id="1" name="Picture 1"/>
            <wp:cNvGraphicFramePr>
              <a:graphicFrameLocks noChangeAspect="1"/>
            </wp:cNvGraphicFramePr>
            <a:graphic>
              <a:graphicData uri="http://schemas.openxmlformats.org/drawingml/2006/picture">
                <pic:pic>
                  <pic:nvPicPr>
                    <pic:cNvPr id="0" name="A 29174-2025 karta.png"/>
                    <pic:cNvPicPr/>
                  </pic:nvPicPr>
                  <pic:blipFill>
                    <a:blip r:embed="rId16"/>
                    <a:stretch>
                      <a:fillRect/>
                    </a:stretch>
                  </pic:blipFill>
                  <pic:spPr>
                    <a:xfrm>
                      <a:off x="0" y="0"/>
                      <a:ext cx="5486400" cy="2786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6520807, E 455421 i SWEREF 99 TM.</w:t>
      </w:r>
    </w:p>
    <w:p>
      <w:pPr>
        <w:pStyle w:val="Heading1"/>
      </w:pPr>
      <w:r>
        <w:t>Fridlysta arter</w:t>
      </w:r>
    </w:p>
    <w:p>
      <w:r>
        <w:t>Följande fridlysta arter har sina livsmiljöer och växtplatser i den avverkningsanmälda skogen: stare (VU, §4), gulsparv (NT, §4), svartvit flugsnappare (NT, §4), dvärgpipistrell (§4a), järnsparv (§4), näktergal (§4) och vattenfladdermus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