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37767-2023 i Gullspångs kommun</w:t>
      </w:r>
    </w:p>
    <w:p>
      <w:r>
        <w:t>Detta dokument behandlar höga naturvärden i avverkningsanmälan A 37767-2023 i Gullspångs kommun. Denna avverkningsanmälan inkom 2023-08-21 00:00:00 och omfattar 21,1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sotlav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56028"/>
            <wp:docPr id="1" name="Picture 1"/>
            <wp:cNvGraphicFramePr>
              <a:graphicFrameLocks noChangeAspect="1"/>
            </wp:cNvGraphicFramePr>
            <a:graphic>
              <a:graphicData uri="http://schemas.openxmlformats.org/drawingml/2006/picture">
                <pic:pic>
                  <pic:nvPicPr>
                    <pic:cNvPr id="0" name="A 37767-2023 karta.png"/>
                    <pic:cNvPicPr/>
                  </pic:nvPicPr>
                  <pic:blipFill>
                    <a:blip r:embed="rId16"/>
                    <a:stretch>
                      <a:fillRect/>
                    </a:stretch>
                  </pic:blipFill>
                  <pic:spPr>
                    <a:xfrm>
                      <a:off x="0" y="0"/>
                      <a:ext cx="5486400" cy="56560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6534823, E 451205 i SWEREF 99 TM.</w:t>
      </w:r>
    </w:p>
    <w:p>
      <w:r>
        <w:rPr>
          <w:b/>
        </w:rPr>
        <w:t>Sotlav</w:t>
      </w:r>
      <w:r>
        <w:t xml:space="preserve"> är överallt en mycket bra signalart och visar alltid på skogsmiljöer med höga naturvärden. Den indikerar långvarig förekomst av gamla eller döda träd. På lavens växtlokaler finns vanligen många andra ovanliga arter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