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33970-2024 i Tranemo kommun</w:t>
      </w:r>
    </w:p>
    <w:p>
      <w:r>
        <w:t>Detta dokument behandlar höga naturvärden i avverkningsanmälan A 33970-2024 i Tranemo kommun. Denna avverkningsanmälan inkom 2024-08-19 11:52:48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22 naturvårdsarter hittats: skogsalm (CR), storspov (EN, §4), almlav (VU), slåttergubbe (VU), björktrast (NT, §4), desmeknopp (NT), drillsnäppa (NT, §4), entita (NT, §4), lunglav (NT), mindre hackspett (NT, §4), spillkråka (NT, §4), stiftgelélav (NT), blodvaxing (S), gulvaxing (S), kransrams (S), traslav (S), gröngöling (§4), grönsiska (§4), kungsfågel (§4), pärluggla (§4), sparvuggla (§4) och blåsippa (§9).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9291"/>
            <wp:docPr id="1" name="Picture 1"/>
            <wp:cNvGraphicFramePr>
              <a:graphicFrameLocks noChangeAspect="1"/>
            </wp:cNvGraphicFramePr>
            <a:graphic>
              <a:graphicData uri="http://schemas.openxmlformats.org/drawingml/2006/picture">
                <pic:pic>
                  <pic:nvPicPr>
                    <pic:cNvPr id="0" name="A 33970-2024 karta.png"/>
                    <pic:cNvPicPr/>
                  </pic:nvPicPr>
                  <pic:blipFill>
                    <a:blip r:embed="rId16"/>
                    <a:stretch>
                      <a:fillRect/>
                    </a:stretch>
                  </pic:blipFill>
                  <pic:spPr>
                    <a:xfrm>
                      <a:off x="0" y="0"/>
                      <a:ext cx="5486400" cy="45192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6370614, E 395530 i SWEREF 99 TM.</w:t>
      </w:r>
    </w:p>
    <w:p>
      <w:r>
        <w:rPr>
          <w:b/>
        </w:rPr>
        <w:t>Almlav (VU)</w:t>
      </w:r>
      <w:r>
        <w:t xml:space="preserve"> förekommer främst i södra och mellersta Sverige men har även några enstaka förekomster upp till Åsele Lappmark. Växer på gamla ädellövträd (till mer än 80% på ask och alm) eller i norra Sverige på sydvända klippväggar av dolomit eller kalksten. Almlav har tillsammans med lunglav lyfts fram som en av de mest användbara indikatorerna på skyddsvärd ädellövskog. Den visar på såväl hela biotoper som enskilda träd med höga naturvärden (SLU Artdatabanken, 2024; Nitare &amp; Skogsstyrelsen, 2019).</w:t>
      </w:r>
    </w:p>
    <w:p>
      <w:r>
        <w:rPr>
          <w:b/>
        </w:rPr>
        <w:t>Desmeknopp (NT)</w:t>
      </w:r>
      <w:r>
        <w:t xml:space="preserve"> förekommer främst i södra delarna av landet, enstaka spridda förekomster finns till åtminstone Medelpad. Växer i skilda miljöer, företrädesvis i lövskog där marken är fuktig, skuggig, närings- och mullrik. Arten har minskat kraftigt under senare år, framför allt på grund av skogsavverkningar och dräneringar. Minskningstakten har uppgått till 25 (15–35) % under de senaste 30 åren och bedöms vara nära gränsvärdet för Sårbar (VU). (A2bc+4abc). Skogsavverkning på lokaler med förekomst av desmeknopp missgynnar eller utplånar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pPr>
        <w:pStyle w:val="Heading1"/>
      </w:pPr>
      <w:r>
        <w:t>Fridlysta arter</w:t>
      </w:r>
    </w:p>
    <w:p>
      <w:r>
        <w:t>Följande fridlysta arter har sina livsmiljöer och växtplatser i den avverkningsanmälda skogen: storspov (EN, §4), björktrast (NT, §4), drillsnäppa (NT, §4), entita (NT, §4), mindre hackspett (NT, §4), spillkråka (NT, §4), gröngöling (§4), grönsiska (§4), kungsfågel (§4), pärluggla (§4), sparvuggla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Pärluggla (§4)</w:t>
      </w:r>
      <w:r>
        <w:t xml:space="preserve"> är beroende av äldre, varierad skog med goda jaktmöjligheter och god tillgång på lämpliga trädhål som boplatser. Hemområdet är i storleksordningen 200–500 hektar, men storleken varierar kraftigt beroende på hur mycket föda det finns. 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Pärlugglan är typisk art för Västlig taiga (9010) och omfattas av fågeldirektivets bilaga 1 (SLU Artdatabanken, 2024; Skogsstyrelsen, 2016).</w:t>
      </w:r>
    </w:p>
    <w:p>
      <w:r>
        <w:rPr>
          <w:b/>
        </w:rPr>
        <w:t>Sparvuggla (§4)</w:t>
      </w:r>
      <w:r>
        <w:t>,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Särskilt avverkning av lövträdsrika kantzoner och igenplantering av gamla inägor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Pärluggla – ekologi samt krav på livsmiljön</w:t>
      </w:r>
    </w:p>
    <w:p>
      <w:r>
        <w:t>Pärluggla (§4) är beroende av äldre, varierad skog med goda jaktmöjligheter och god tillgång på lämpliga trädhål som boplatser. Den förekommer med störst täthet i äldre granskog, med inslag av gamla lövträd och luckor och öppningar i form av mindre hyggen, jordbruksmark och liknande. Den häckar även frekvent i barr- och lövblandskogar av tall, björk och asp, där förutsättningarna att finna boplatser är störst. I sydligaste Sverige häckar den ofta i gamla bokbackar, men den är mycket sällsynt i ren bokskog (SLU Artdatabanken, 2024).</w:t>
      </w:r>
    </w:p>
    <w:p>
      <w:r>
        <w:t>Hemområdet är i storleksordningen 200–500 hektar, men storleken varierar kraftigt beroende på hur mycket föda det finns. Under dåliga gnagarår kan pärlugglan jaga upp till 4 km från boet medan den under bra år ofta håller sig inom 1 km. Pärluggla är typisk art för Västlig taiga och omfattas av fågeldirektivets bilaga 1 (SLU Artdatabanken, 2024).</w:t>
      </w:r>
    </w:p>
    <w:p>
      <w:r>
        <w:t>Undvik skogsbruksåtgärder som kan skada hänsynskrävande miljöer, som till exempel strand- och sumpskogar med naturskogskaraktär, äldre skog på uddar och öar, raviner, klyftor och blockmarker samt berg- och rasbranter, äldre hällmarksskog, äldre sandtallskogar, naturskogsrester, eller äldre trädbestånd med mycket hänglavar eller död ved (Skogsstyrelsen, 2016).</w:t>
      </w:r>
    </w:p>
    <w:p>
      <w:pPr>
        <w:pStyle w:val="Heading2"/>
      </w:pPr>
      <w:r>
        <w:t>Referenser – pärluggla</w:t>
      </w:r>
    </w:p>
    <w:p>
      <w:r>
        <w:t xml:space="preserve">SLU Artdatabanken, 2024. </w:t>
      </w:r>
      <w:r>
        <w:rPr>
          <w:i/>
        </w:rPr>
        <w:t xml:space="preserve">Artfaktablad. Naturvård – artfakta. </w:t>
      </w:r>
      <w:r>
        <w:t>SLU Artdatabanken, Uppsala.</w:t>
      </w:r>
    </w:p>
    <w:p>
      <w:r>
        <w:t xml:space="preserve">Skogsstyrelsen, 2016. </w:t>
      </w:r>
      <w:r>
        <w:rPr>
          <w:i/>
        </w:rPr>
        <w:t>Vägledning för hänsyn till pärluggla.</w:t>
      </w:r>
    </w:p>
    <w:p>
      <w:pPr>
        <w:pStyle w:val="Heading1"/>
      </w:pPr>
      <w:r>
        <w:t>Sparvuggla – ekologi samt krav på livsmiljön</w:t>
      </w:r>
    </w:p>
    <w:p>
      <w:r>
        <w:t>Sparvuggla (§4), som omfattas av fågeldirektivets bilaga 1, häckar i naturskog samt i klassisk bondeskog och förekommer främst i större skogsområden som domineras av barrblandskog med stort inslag av asp, björk och andra lövträd. Den behöver relativt stora skogsområden och saknas helt i mindre skogar och isolerade dungar. Reviren är i storleksordningen upp till 200 hektar. Sparvugglan missgynnas av överföring av variationsrika bondeskogar till ensartade produktionsskogar – särskilt avverkning av lövträdsrika kantzoner och igenplantering av gamla inägor (Skogsstyrelsen, 2016).</w:t>
      </w:r>
    </w:p>
    <w:p>
      <w:pPr>
        <w:pStyle w:val="Heading2"/>
      </w:pPr>
      <w:r>
        <w:t>Referenser – sparvuggla</w:t>
      </w:r>
    </w:p>
    <w:p>
      <w:r>
        <w:t xml:space="preserve">Skogsstyrelsen, 2016. </w:t>
      </w:r>
      <w:r>
        <w:rPr>
          <w:i/>
        </w:rPr>
        <w:t>Vägledning för hänsyn till sparvuggla.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