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33612-2023 i Tranemo kommun</w:t>
      </w:r>
    </w:p>
    <w:p>
      <w:r>
        <w:t>Detta klagomål behandlar höga naturvärden i avverkningsanmälan A 33612-2023 i Tranemo kommun som inkom 2023-07-25 och omfattar 8,9 ha.</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33612-2023 karta.png"/>
                    <pic:cNvPicPr/>
                  </pic:nvPicPr>
                  <pic:blipFill>
                    <a:blip r:embed="rId16"/>
                    <a:stretch>
                      <a:fillRect/>
                    </a:stretch>
                  </pic:blipFill>
                  <pic:spPr>
                    <a:xfrm>
                      <a:off x="0" y="0"/>
                      <a:ext cx="5486400" cy="44846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6372990, E 408227 i SWEREF 99 TM.</w:t>
      </w:r>
    </w:p>
    <w:p>
      <w:r>
        <w:t>I och inom 19 meter från avverkningsanmälan finns fynd av 12 naturvårdsarter, varav 3 är rödlistade, 3 är fridlysta, 9 är typiska (T) och 7 är signalarter (S): garnlav (VU, T), sparvuggla (NT, §4), vedtrappmossa (NT, T), blåmossa (S, T), bronshjon (S, T), granbarkgnagare (S, T), kornknutmossa (S, T), stor revmossa (S), vedticka (S, T), västlig hakmossa (S), nattskärra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