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27182-2023 i Tranemo kommun</w:t>
      </w:r>
    </w:p>
    <w:p>
      <w:r>
        <w:t>Denna tillsynsbegäran behandlar höga naturvärden i avverkningsanmälan A 27182-2023 i Tranemo kommun som inkom 2023-06-19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768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18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768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6371308, E 400546 i SWEREF 99 TM.</w:t>
      </w:r>
    </w:p>
    <w:p>
      <w:r>
        <w:t>I avverkningsanmälan finns fynd av 1 naturvårdsarter, varav 1 är rödlistad och 1 är typisk (T): brunpudrad nållav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Brunpudrad nållav (NT)</w:t>
      </w:r>
      <w:r>
        <w:t xml:space="preserve"> är beroende av hög, jämn luftfuktighet och kan påträffas i fuktiga skogar av naturskogskaraktär, ofta i sumpgranskog eller andra sumpskogar. Arten är placerad högst upp i Skogsstyrelsens värdepyramid för bedömning av skog med höga naturvärden och förekomster bör undantas från skogsbruksåtgärder. Brunpudrad nållav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