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samrådsanmälan S 82-2025 i Bengtsfors kommun</w:t>
      </w:r>
    </w:p>
    <w:p>
      <w:r>
        <w:t>Detta klagomål behandlar höga naturvärden i samrådsanmälan S 82-2025 i Bengtsfors kommun som inkom 2025-01-14 och omfattar 33,9 ha.</w:t>
      </w:r>
    </w:p>
    <w:p>
      <w:pPr>
        <w:pStyle w:val="Caption"/>
      </w:pPr>
      <w:r>
        <w:drawing>
          <wp:inline xmlns:a="http://schemas.openxmlformats.org/drawingml/2006/main" xmlns:pic="http://schemas.openxmlformats.org/drawingml/2006/picture">
            <wp:extent cx="5486400" cy="4419286"/>
            <wp:docPr id="1" name="Picture 1"/>
            <wp:cNvGraphicFramePr>
              <a:graphicFrameLocks noChangeAspect="1"/>
            </wp:cNvGraphicFramePr>
            <a:graphic>
              <a:graphicData uri="http://schemas.openxmlformats.org/drawingml/2006/picture">
                <pic:pic>
                  <pic:nvPicPr>
                    <pic:cNvPr id="0" name="S 82-2025 karta.png"/>
                    <pic:cNvPicPr/>
                  </pic:nvPicPr>
                  <pic:blipFill>
                    <a:blip r:embed="rId16"/>
                    <a:stretch>
                      <a:fillRect/>
                    </a:stretch>
                  </pic:blipFill>
                  <pic:spPr>
                    <a:xfrm>
                      <a:off x="0" y="0"/>
                      <a:ext cx="5486400" cy="4419286"/>
                    </a:xfrm>
                    <a:prstGeom prst="rect"/>
                  </pic:spPr>
                </pic:pic>
              </a:graphicData>
            </a:graphic>
          </wp:inline>
        </w:drawing>
      </w:r>
    </w:p>
    <w:p>
      <w:pPr>
        <w:pStyle w:val="Caption"/>
        <w:spacing w:after="240"/>
      </w:pPr>
      <w:r>
        <w:t>Figur 1. Fyndplatser för naturvårdsarter i och inom 9 meter från samrådsanmälan. Markörer utan svart kant är placerade på fyndplatsen. Markörer med svart kant är placerade vid sidan av fyndplatsen och har ett svart streck som visar fyndplatsens exakta position. Kartans mittpunktskoordinat är N 6520201, E 337450 i SWEREF 99 TM.</w:t>
      </w:r>
    </w:p>
    <w:p>
      <w:r>
        <w:t>I och inom 9 meter från samrådsanmälan finns fynd av 3 naturvårdsarter, varav 1 är rödlistad, 2 är typiska (T) och 2 är signalarter (S): skogsalm (EN), grov baronmossa (S, T) och platt fjädermossa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Grov baronmossa</w:t>
      </w:r>
      <w:r>
        <w:t xml:space="preserve"> är näringskrävande och kalkgynnad. Den växer mest i skuggig skogsmiljö, antingen i ädellövskog eller i bergbranter på relativt torra, men beskuggade bergväggar och block av basiska bergarter. Den växer även vid basen av solitära eller halvöppet stående gamla ädellövträd, bland annat på mycket gamla ekar och lindar, men också på ask, lönn, bok och alm. Grov baronmossa är typisk art för </w:t>
      </w:r>
      <w:r>
        <w:rPr>
          <w:i/>
        </w:rPr>
        <w:t xml:space="preserve">9020 Nordlig ädellövskog, 9130 Näringsrik bokskog, 9160 Näringsrik ekskog </w:t>
      </w:r>
      <w:r>
        <w:t>och</w:t>
      </w:r>
      <w:r>
        <w:rPr>
          <w:i/>
        </w:rPr>
        <w:t xml:space="preserve"> 9180 Ädellövskog i branter</w:t>
      </w:r>
      <w:r>
        <w:t xml:space="preserve"> (Nitare &amp; Skogsstyrelsen, 2019; SLU Artdatabanken, 2025).</w:t>
      </w:r>
    </w:p>
    <w:p>
      <w:r>
        <w:rPr>
          <w:b/>
        </w:rPr>
        <w:t xml:space="preserve">Platt fjädermossa </w:t>
      </w:r>
      <w:r>
        <w:t>växer på såväl trädstammar (särskilt bok och andra ädla lövträd) som klippor (helst basiska bergarter). Norrut förekommer den endast på basiska klippor. Rika förekomster och fynd med sporkapslar indikerar höga naturvärden och en artrik mossbiotop.</w:t>
      </w:r>
      <w:r>
        <w:rPr>
          <w:b/>
        </w:rPr>
        <w:t xml:space="preserve"> </w:t>
      </w:r>
      <w:r>
        <w:t xml:space="preserve">Platt fjädermossa är typisk art för </w:t>
      </w:r>
      <w:r>
        <w:rPr>
          <w:i/>
        </w:rPr>
        <w:t>9010 Taiga,</w:t>
      </w:r>
      <w:r>
        <w:t xml:space="preserve"> </w:t>
      </w:r>
      <w:r>
        <w:rPr>
          <w:i/>
        </w:rPr>
        <w:t>9020 Nordlig ädellövskog, 9110 Näringsfattig bokskog, 9130 Näringsrik bokskog, 9160 Näringsrik ekskog, 9180 Ädellövskog i branter</w:t>
      </w:r>
      <w:r>
        <w:t xml:space="preserve"> och</w:t>
      </w:r>
      <w:r>
        <w:rPr>
          <w:i/>
        </w:rPr>
        <w:t xml:space="preserve"> 9190 Näringsfattig ekskog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