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34258-2023 i Bengtsfors kommun</w:t>
      </w:r>
    </w:p>
    <w:p>
      <w:r>
        <w:t>Detta dokument behandlar höga naturvärden i avverkningsanmälan A 34258-2023 i Bengtsfors kommun. Denna avverkningsanmälan inkom 2023-07-31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liten hornflikmossa (VU), oxtungssvamp (NT), platt spretmossa (NT), stubbtrådmossa (NT), talltita (NT, §4), veckticka (NT), vedtrappmossa (NT), vit vedfingersvamp (NT), blåmossa (S), klippfrullania (S), korallblylav (S), mindre märgborre (S), stubbspretmossa (S), trind spretmossa (S), vanlig rörsvepemossa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4258-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6522498, E 340335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och typisk art för </w:t>
      </w:r>
      <w:r>
        <w:rPr>
          <w:i/>
        </w:rPr>
        <w:t xml:space="preserve">9080 Lövsumpskog </w:t>
      </w:r>
      <w:r>
        <w:t xml:space="preserve">och </w:t>
      </w:r>
      <w:r>
        <w:rPr>
          <w:i/>
        </w:rPr>
        <w:t>9750 Svämlövskog</w:t>
      </w:r>
      <w:r>
        <w:t xml:space="preserve"> (SLU Artdatabanken, 2024; IUCN,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Vanlig rörsvepemossa </w:t>
      </w:r>
      <w:r>
        <w:t xml:space="preserve">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Vanlig rörsvepemossa är typisk art för </w:t>
      </w:r>
      <w:r>
        <w:rPr>
          <w:i/>
        </w:rPr>
        <w:t xml:space="preserve">9080 Lövsumpskog </w:t>
      </w:r>
      <w:r>
        <w:t xml:space="preserve">och </w:t>
      </w:r>
      <w:r>
        <w:rPr>
          <w:i/>
        </w:rPr>
        <w:t>9750 Svämlövskog</w:t>
      </w:r>
      <w:r>
        <w:t xml:space="preserve"> (Nitare &amp; Skogsstyrelsen, 2019; SLU Artdatabanken, 2024).</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