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som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pilgrimsfalk (VU, §4), tornseglare (VU, §4), duvhök (NT, §4), ladusvala (NT, §4), buskskvätta (§4), grönsiska (§4), trana (§4), törnskata (§4) och ärtsångare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2"/>
      </w:pPr>
      <w:r>
        <w:t>Fridlysta arter</w:t>
      </w:r>
    </w:p>
    <w:p>
      <w:r>
        <w:t>Följande fridlysta arter har sina livsmiljöer och växtplatser i den avverkningsanmälda skogen: pilgrimsfalk (VU, §4), tornseglare (VU, §4), duvhök (NT, §4), ladusvala (NT, §4), buskskvätta (§4), grönsiska (§4), trana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