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61168-2025 i Bengtsfors kommun</w:t>
      </w:r>
    </w:p>
    <w:p>
      <w:r>
        <w:t>Detta dokument behandlar höga naturvärden i avverkningsanmälan A 61168-2025 i Bengtsfors kommun som inkom 2025-12-09 och omfattar 18,8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28272" cy="5688000"/>
            <wp:docPr id="1" name="Picture 1"/>
            <wp:cNvGraphicFramePr>
              <a:graphicFrameLocks noChangeAspect="1"/>
            </wp:cNvGraphicFramePr>
            <a:graphic>
              <a:graphicData uri="http://schemas.openxmlformats.org/drawingml/2006/picture">
                <pic:pic>
                  <pic:nvPicPr>
                    <pic:cNvPr id="0" name="A 61168-2025 karta.png"/>
                    <pic:cNvPicPr/>
                  </pic:nvPicPr>
                  <pic:blipFill>
                    <a:blip r:embed="rId16"/>
                    <a:stretch>
                      <a:fillRect/>
                    </a:stretch>
                  </pic:blipFill>
                  <pic:spPr>
                    <a:xfrm>
                      <a:off x="0" y="0"/>
                      <a:ext cx="4728272" cy="56880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6566882, E 342247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4 naturvårdsarter hittats: dropptaggsvamp (NT, T), talltita (NT, §4), tjäder (T, §4) och tofsmes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tjäder (T, §4) och tofsmes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