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40237-2025 i Bengtsfors kommun</w:t>
      </w:r>
    </w:p>
    <w:p>
      <w:r>
        <w:t>Detta klagomål behandlar höga naturvärden i avverkningsanmälan A 40237-2025 i Bengtsfors kommun som inkom 2025-08-25 och omfattar 2,2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6529492, E 346690 i SWEREF 99 TM.</w:t>
      </w:r>
    </w:p>
    <w:p>
      <w:r>
        <w:t>I och inom 25 meter från avverkningsanmälan finns fynd av 15 naturvårdsarter, varav 7 är rödlistade, 3 är fridlysta, 7 är typiska (T) och 7 är signalarter (S): koppartaggsvamp (EN), hällebräcka (VU, §7), smalskaftslav (VU), fjällig taggsvamp s.str. (NT), gråbrun ängsfingersvamp (NT), nötkråka (NT, T, §4), sårläka (NT, T), brun klibbskivling (S), grov baronmossa (S, T), guldkremla (S), platt fjädermossa (S, T), skinnlav (S, T), svart trolldruva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