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34258-2023 i Bengtsfors kommun</w:t>
      </w:r>
    </w:p>
    <w:p>
      <w:r>
        <w:t>Detta dokument behandlar höga naturvärden i avverkningsanmälan A 34258-2023 i Bengtsfors kommun. Denna avverkningsanmälan inkom 2023-07-31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liten hornflikmossa (VU), platt spretmossa (NT), stubbtrådmossa (NT), talltita (NT, §4), vedtrappmossa (NT), blåmossa (S), klippfrullania (S), korallblylav (S), stubbspretmossa (S), trind spretmossa (S), vanlig rörsvepemossa (S), västlig hakmossa (S), tjäder (§4)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2801"/>
            <wp:docPr id="1" name="Picture 1"/>
            <wp:cNvGraphicFramePr>
              <a:graphicFrameLocks noChangeAspect="1"/>
            </wp:cNvGraphicFramePr>
            <a:graphic>
              <a:graphicData uri="http://schemas.openxmlformats.org/drawingml/2006/picture">
                <pic:pic>
                  <pic:nvPicPr>
                    <pic:cNvPr id="0" name="A 34258-2023 karta.png"/>
                    <pic:cNvPicPr/>
                  </pic:nvPicPr>
                  <pic:blipFill>
                    <a:blip r:embed="rId16"/>
                    <a:stretch>
                      <a:fillRect/>
                    </a:stretch>
                  </pic:blipFill>
                  <pic:spPr>
                    <a:xfrm>
                      <a:off x="0" y="0"/>
                      <a:ext cx="5486400" cy="5262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6522498, E 340335 i SWEREF 99 TM.</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Platt spretmossa (NT)</w:t>
      </w:r>
      <w:r>
        <w:t xml:space="preserve"> omfattas av EU:s art- och habitatdirektiv där dess bevarandestatus är otillfredsställande med negativ trend. Arten växer på murken ved eller på torvrik jord på fuktiga eller mycket fuktiga och skuggiga platser, ofta i al- och gransumpskogar med periodvis översvämning, eller utmed vattendrag. Den hotas av uthuggning, torrläggning och avverkning av sumpskogar. Platt spretmossa är rödlistad som nära hotad (NT) i den europeiska rödlistan (SLU Artdatabanken, 2024; IUCN, 2024).</w:t>
      </w:r>
    </w:p>
    <w:p>
      <w:pPr>
        <w:pStyle w:val="Heading1"/>
      </w:pPr>
      <w:r>
        <w:t>Fridlysta arter</w:t>
      </w:r>
    </w:p>
    <w:p>
      <w:r>
        <w:t>Följande fridlysta arter har sina livsmiljöer och växtplatser i den avverkningsanmälda skogen: talltita (NT, §4),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