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11036-2025 i Bengtsfors kommun</w:t>
      </w:r>
    </w:p>
    <w:p>
      <w:r>
        <w:t>Denna tillsynsbegäran behandlar höga naturvärden i avverkningsanmälan A 11036-2025 i Bengtsfors kommun som inkom 2025-03-07 och omfattar 5,0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11036-2025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6532873, E 338135 i SWEREF 99 TM.</w:t>
      </w:r>
    </w:p>
    <w:p>
      <w:r>
        <w:t>I och inom 24 meter från avverkningsanmälan finns fynd av 15 naturvårdsarter, varav 5 är rödlistade, 2 är fridlysta, 10 är typiska (T) och 9 är signalarter (S): hällebräcka (VU, §7), trollsmultron (VU), dropptaggsvamp (NT, T), gransotdyna (NT), vårärt (NT, T), grov baronmossa (S, T), grov fjädermossa (S, T), grönpyrola (S, T), guldlockmossa (S, T), platt fjädermossa (S, T), stubbspretmossa (S, T), svavelriska (S), trubbfjädermossa (S, T),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vårärt (NT, T), grov baronmossa (S, T), grov fjädermossa (S, T), grönpyrola (S, T), guldlockmossa (S, T), platt fjädermossa (S, T), stubbspretmossa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