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7086-2025 i Bengtsfors kommun</w:t>
      </w:r>
    </w:p>
    <w:p>
      <w:r>
        <w:t>Detta klagomål behandlar höga naturvärden i avverkningsanmälan A 7086-2025 i Bengtsfors kommun som inkom 2025-02-13 och omfattar 3,6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7086-2025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6532760, E 338315 i SWEREF 99 TM.</w:t>
      </w:r>
    </w:p>
    <w:p>
      <w:r>
        <w:t>I och inom 24 meter från avverkningsanmälan finns fynd av 18 naturvårdsarter, varav 7 är rödlistade, 3 är fridlysta, 13 är typiska (T) och 10 är signalarter (S): hällebräcka (VU, §7), dropptaggsvamp (NT, T), gransotdyna (NT), skarp dropptaggsvamp (NT), svart askbastborre (NT), tallticka (NT, T), vedtrappmossa (NT, T), granbarkgnagare (S, T), grov baronmossa (S, T), grov fjädermossa (S, T), grön sköldmossa (S, T, §8), grönpyrola (S, T), guldkremla (S), guldlockmossa (S, T), kornknutmossa (S, T), platt fjädermossa (S, T),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