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54343-2025 i Bengtsfors kommun</w:t>
      </w:r>
    </w:p>
    <w:p>
      <w:r>
        <w:t>Denna tillsynsbegäran behandlar höga naturvärden i avverkningsanmälan A 54343-2025 i Bengtsfors kommun som inkom 2025-11-04 och omfattar 7,2 ha.</w:t>
      </w:r>
    </w:p>
    <w:p>
      <w:pPr>
        <w:pStyle w:val="Caption"/>
      </w:pPr>
      <w:r>
        <w:drawing>
          <wp:inline xmlns:a="http://schemas.openxmlformats.org/drawingml/2006/main" xmlns:pic="http://schemas.openxmlformats.org/drawingml/2006/picture">
            <wp:extent cx="5486400" cy="4703975"/>
            <wp:docPr id="1" name="Picture 1"/>
            <wp:cNvGraphicFramePr>
              <a:graphicFrameLocks noChangeAspect="1"/>
            </wp:cNvGraphicFramePr>
            <a:graphic>
              <a:graphicData uri="http://schemas.openxmlformats.org/drawingml/2006/picture">
                <pic:pic>
                  <pic:nvPicPr>
                    <pic:cNvPr id="0" name="A 54343-2025 karta.png"/>
                    <pic:cNvPicPr/>
                  </pic:nvPicPr>
                  <pic:blipFill>
                    <a:blip r:embed="rId16"/>
                    <a:stretch>
                      <a:fillRect/>
                    </a:stretch>
                  </pic:blipFill>
                  <pic:spPr>
                    <a:xfrm>
                      <a:off x="0" y="0"/>
                      <a:ext cx="5486400" cy="470397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6542761, E 347431 i SWEREF 99 TM.</w:t>
      </w:r>
    </w:p>
    <w:p>
      <w:r>
        <w:t>I och inom 23 meter från avverkningsanmälan finns fynd av 28 naturvårdsarter, varav 11 är rödlistade, 4 är fridlysta, 21 är typiska (T) och 13 är signalarter (S): garnlav (VU, T), gränsticka (VU, T), dunmossa (NT, T), grönhjon (NT), kattfotslav (NT, T), motaggsvamp (NT, T), sårläka (NT, T), tallticka (NT, T), ullticka (NT, T), vedskivlav (NT, T), vedtrappmossa (NT, T), barkticka (S, T), bronshjon (S, T), granbarkgnagare (S, T), kornknutmossa (S, T), platt fjädermossa (S, T), rostfläck (S, T), rödgul trumpetsvamp (S), stor revmossa (S), thomsons trägnagare (S), trind spretmossa (S), trådticka (S, T), vedticka (S, T), vågbandad barkbock (S), blåsippa (T, §9), spillkråka (T, §4),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Trind spretmossa </w:t>
      </w:r>
      <w:r>
        <w:t>kräver ett konstant fuktigt mikroklimat och påträffas ofta i skogsbiotoper med höga naturvärden, till exempel i skuggiga raviner och kanjondalar med välutvecklade mossmattor. Rika förekomster av trind spretmossa indikerar miljöer med lång kontinuitet av hög luftfuktighet, och därmed ofta höga naturvärden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dunmossa (NT, T), kattfotslav (NT, T), motaggsvamp (NT, T), sårläka (NT, T), tallticka (NT, T), ullticka (NT, T), vedskivlav (NT, T), vedtrappmossa (NT, T), barkticka (S, T), bronshjon (S, T), granbarkgnagare (S, T), kornknutmossa (S, T), platt fjädermossa (S, T), rostfläck (S, T), trådticka (S, T), vedticka (S, T), blåsippa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