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29215-2022 i Bengtsfors kommun</w:t>
      </w:r>
    </w:p>
    <w:p>
      <w:r>
        <w:t>Detta dokument behandlar höga naturvärden i avverkningsanmälan A 29215-2022 i Bengtsfors kommun. Denna avverkningsanmälan inkom 2022-07-08 00:00:00 och omfattar 9,9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5 naturvårdsarter hittats: spillkråka (NT, §4), stubbtrådmossa (NT), vedtrappmossa (NT), västlig hakmossa (S) och tjäder (§4).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74057"/>
            <wp:docPr id="1" name="Picture 1"/>
            <wp:cNvGraphicFramePr>
              <a:graphicFrameLocks noChangeAspect="1"/>
            </wp:cNvGraphicFramePr>
            <a:graphic>
              <a:graphicData uri="http://schemas.openxmlformats.org/drawingml/2006/picture">
                <pic:pic>
                  <pic:nvPicPr>
                    <pic:cNvPr id="0" name="A 29215-2022 karta.png"/>
                    <pic:cNvPicPr/>
                  </pic:nvPicPr>
                  <pic:blipFill>
                    <a:blip r:embed="rId16"/>
                    <a:stretch>
                      <a:fillRect/>
                    </a:stretch>
                  </pic:blipFill>
                  <pic:spPr>
                    <a:xfrm>
                      <a:off x="0" y="0"/>
                      <a:ext cx="5486400" cy="337405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6525772, E 338802 i SWEREF 99 TM.</w:t>
      </w:r>
    </w:p>
    <w:p>
      <w:r>
        <w:rPr>
          <w:b/>
        </w:rPr>
        <w:t>Stubbtrådmossa (NT)</w:t>
      </w:r>
      <w:r>
        <w:t xml:space="preserve"> är en bladlevermossa som växer uteslutande på murken ved gärna tillsammans med vedsäckmossa (VU) i fuktig barrskog och arten har sin tyngdpunkt i södra och mellersta Sverige. Genom att arten inte klarar kalavverkning, till stor del fortfarande finns mest i produktionsskog med lång trädkontinuitet gör avverkningar av denna typ av skog att artens population kommer att fortsätta att minska. Alla skogsskötselåtgärder på eller i omedelbar närhet av artens lokaler utgör ett hot. Aktuella lokaler bör undantas från rationell skogsskötsel. För att klara arten på sikt måste mängden död ved i landets granskogar öka väsentligt (SLU Artdatabanken, 2026).</w:t>
      </w:r>
    </w:p>
    <w:p>
      <w:r>
        <w:rPr>
          <w:b/>
        </w:rPr>
        <w:t xml:space="preserve">Vedtrappmossa (NT) </w:t>
      </w:r>
      <w:r>
        <w:t xml:space="preserve">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Vedtrappmossa är typisk art för </w:t>
      </w:r>
      <w:r>
        <w:rPr>
          <w:i/>
        </w:rPr>
        <w:t>9010 Taiga</w:t>
      </w:r>
      <w:r>
        <w:t xml:space="preserve"> (SLU Artdatabanken, 2024).</w:t>
      </w:r>
    </w:p>
    <w:p>
      <w:pPr>
        <w:pStyle w:val="Heading1"/>
      </w:pPr>
      <w:r>
        <w:t>Fridlysta arter</w:t>
      </w:r>
    </w:p>
    <w:p>
      <w:r>
        <w:t>Följande fridlysta arter har sina livsmiljöer och växtplatser i den avverkningsanmälda skogen: spillkråka (NT, §4) och tjäder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r>
        <w:t>I BILAGA 1 finns mer detaljerad information om ekologi samt krav på livsmiljö hos fridlysta arter.</w:t>
      </w:r>
    </w:p>
    <w:p>
      <w:r>
        <w:br w:type="page"/>
      </w:r>
    </w:p>
    <w:p>
      <w:pPr>
        <w:pStyle w:val="Title"/>
      </w:pPr>
      <w:r>
        <w:t>BILAGA 1 – Fridlysta arter</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2026-05-05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