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53606-2023 i Bengtsfors kommun</w:t>
      </w:r>
    </w:p>
    <w:p>
      <w:r>
        <w:t>Detta klagomål behandlar höga naturvärden i avverkningsanmälan A 53606-2023 i Bengtsfors kommun som inkom 2023-10-31 och omfattar 1,6 ha.</w:t>
      </w:r>
    </w:p>
    <w:p>
      <w:pPr>
        <w:pStyle w:val="Caption"/>
      </w:pPr>
      <w:r>
        <w:drawing>
          <wp:inline xmlns:a="http://schemas.openxmlformats.org/drawingml/2006/main" xmlns:pic="http://schemas.openxmlformats.org/drawingml/2006/picture">
            <wp:extent cx="5486400" cy="5412871"/>
            <wp:docPr id="1" name="Picture 1"/>
            <wp:cNvGraphicFramePr>
              <a:graphicFrameLocks noChangeAspect="1"/>
            </wp:cNvGraphicFramePr>
            <a:graphic>
              <a:graphicData uri="http://schemas.openxmlformats.org/drawingml/2006/picture">
                <pic:pic>
                  <pic:nvPicPr>
                    <pic:cNvPr id="0" name="A 53606-2023 karta.png"/>
                    <pic:cNvPicPr/>
                  </pic:nvPicPr>
                  <pic:blipFill>
                    <a:blip r:embed="rId16"/>
                    <a:stretch>
                      <a:fillRect/>
                    </a:stretch>
                  </pic:blipFill>
                  <pic:spPr>
                    <a:xfrm>
                      <a:off x="0" y="0"/>
                      <a:ext cx="5486400" cy="5412871"/>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6522193, E 337099 i SWEREF 99 TM.</w:t>
      </w:r>
    </w:p>
    <w:p>
      <w:r>
        <w:t>Inom 17 meter från avverkningsanmälan finns fynd av 1 naturvårdsarter, varav 1 är rödlistad: stor skogsbäckmossa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Stor skogsbäckmossa (VU)</w:t>
      </w:r>
      <w:r>
        <w:t xml:space="preserve"> växer på stränder av mindre sjöar och på stenar i vattendrag i skogstrakter. Förekomsterna är små och sårbara. Kalavverkning och dålig hänsyn vid vattendrag utgör hot mot arten.</w:t>
      </w:r>
    </w:p>
    <w:p>
      <w:r>
        <w:t>Stor skogsbäckmossa är rödlistad som nära hotad (NT) på den europeiska rödlistan vilket innebär att Sverige har ett internationellt ansvar för arten (SLU Artdatabanken, 2026; IUCN, 2017).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