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8596-2022 i Bengtsfors kommun</w:t>
      </w:r>
    </w:p>
    <w:p>
      <w:r>
        <w:t>Denna tillsynsbegäran behandlar höga naturvärden i avverkningsanmälan A 8596-2022 i Bengtsfors kommun som inkom 2022-02-21 och omfattar 5,8 ha.</w:t>
      </w:r>
    </w:p>
    <w:p>
      <w:pPr>
        <w:pStyle w:val="Caption"/>
      </w:pPr>
      <w:r>
        <w:drawing>
          <wp:inline xmlns:a="http://schemas.openxmlformats.org/drawingml/2006/main" xmlns:pic="http://schemas.openxmlformats.org/drawingml/2006/picture">
            <wp:extent cx="5486400" cy="5152691"/>
            <wp:docPr id="1" name="Picture 1"/>
            <wp:cNvGraphicFramePr>
              <a:graphicFrameLocks noChangeAspect="1"/>
            </wp:cNvGraphicFramePr>
            <a:graphic>
              <a:graphicData uri="http://schemas.openxmlformats.org/drawingml/2006/picture">
                <pic:pic>
                  <pic:nvPicPr>
                    <pic:cNvPr id="0" name="A 8596-2022 karta.png"/>
                    <pic:cNvPicPr/>
                  </pic:nvPicPr>
                  <pic:blipFill>
                    <a:blip r:embed="rId16"/>
                    <a:stretch>
                      <a:fillRect/>
                    </a:stretch>
                  </pic:blipFill>
                  <pic:spPr>
                    <a:xfrm>
                      <a:off x="0" y="0"/>
                      <a:ext cx="5486400" cy="51526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6537026, E 346077 i SWEREF 99 TM.</w:t>
      </w:r>
    </w:p>
    <w:p>
      <w:r>
        <w:t>I avverkningsanmälan finns fynd av 4 naturvårdsarter, varav 1 är rödlistad, 3 är fridlysta, 3 är typiska (T) och 1 är signalart (S): nötkråka (NT, T, §4), kambräken (S, T), tallbit (T,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