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15947-2024 i Bengtsfors kommun</w:t>
      </w:r>
    </w:p>
    <w:p>
      <w:r>
        <w:t>Detta klagomål behandlar höga naturvärden i avverkningsanmälan A 15947-2024 i Bengtsfors kommun som inkom 2024-04-23 och omfattar 2,9 ha.</w:t>
      </w:r>
    </w:p>
    <w:p>
      <w:pPr>
        <w:pStyle w:val="Caption"/>
      </w:pPr>
      <w:r>
        <w:drawing>
          <wp:inline xmlns:a="http://schemas.openxmlformats.org/drawingml/2006/main" xmlns:pic="http://schemas.openxmlformats.org/drawingml/2006/picture">
            <wp:extent cx="5486400" cy="4762421"/>
            <wp:docPr id="1" name="Picture 1"/>
            <wp:cNvGraphicFramePr>
              <a:graphicFrameLocks noChangeAspect="1"/>
            </wp:cNvGraphicFramePr>
            <a:graphic>
              <a:graphicData uri="http://schemas.openxmlformats.org/drawingml/2006/picture">
                <pic:pic>
                  <pic:nvPicPr>
                    <pic:cNvPr id="0" name="A 15947-2024 karta.png"/>
                    <pic:cNvPicPr/>
                  </pic:nvPicPr>
                  <pic:blipFill>
                    <a:blip r:embed="rId16"/>
                    <a:stretch>
                      <a:fillRect/>
                    </a:stretch>
                  </pic:blipFill>
                  <pic:spPr>
                    <a:xfrm>
                      <a:off x="0" y="0"/>
                      <a:ext cx="5486400" cy="4762421"/>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6540939, E 350449 i SWEREF 99 TM.</w:t>
      </w:r>
    </w:p>
    <w:p>
      <w:r>
        <w:t>I och inom 12 meter från avverkningsanmälan finns fynd av 5 naturvårdsarter, varav 2 är rödlistade, 4 är typiska (T) och 3 är signalarter (S): lunglav (NT, T), svart askbastborre (NT), fällmossa (S, T), grov baronmossa (S, T) och platt fjädermossa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Grov baronmossa</w:t>
      </w:r>
      <w:r>
        <w:t xml:space="preserve"> är näringskrävande och kalkgynnad. Den växer mest i skuggig skogsmiljö, antingen i ädellövskog eller i bergbranter på relativt torra, men beskuggade bergväggar och block av basiska bergarter. Den växer även vid basen av solitära eller halvöppet stående gamla ädellövträd, bland annat på mycket gamla ekar och lindar, men också på ask, lönn, bok och alm. Grov baronmossa är typisk art för </w:t>
      </w:r>
      <w:r>
        <w:rPr>
          <w:i/>
        </w:rPr>
        <w:t xml:space="preserve">9020 Nordlig ädellövskog, 9130 Näringsrik bokskog, 9160 Näringsrik ekskog </w:t>
      </w:r>
      <w:r>
        <w:t>och</w:t>
      </w:r>
      <w:r>
        <w:rPr>
          <w:i/>
        </w:rPr>
        <w:t xml:space="preserve"> 9180 Ädellövskog i branter</w:t>
      </w:r>
      <w:r>
        <w:t xml:space="preserve"> (Nitare &amp; Skogsstyrelsen, 2019; SLU Artdatabanken, 2025).</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