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34258-2023 i Bengtsfors kommun</w:t>
      </w:r>
    </w:p>
    <w:p>
      <w:r>
        <w:t>Detta klagomål behandlar höga naturvärden i avverkningsanmälan A 34258-2023 i Bengtsfors kommun som inkom 2023-07-31 och omfattar 9,8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34258-2023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6522498, E 340335 i SWEREF 99 TM.</w:t>
      </w:r>
    </w:p>
    <w:p>
      <w:r>
        <w:t>I och inom 1 meter från avverkningsanmälan finns fynd av 20 naturvårdsarter, varav 8 är rödlistade, 4 är fridlysta, 12 är typiska (T) och 9 är signalarter (S): liten hornflikmossa (VU), oxtungssvamp (NT), platt spretmossa (NT, T), stubbtrådmossa (NT), talltita (NT, §4), veckticka (NT, T), vedtrappmossa (NT, T), vit vedfingersvamp (NT), blåmossa (S, T), klippfrullania (S, T), korallblylav (S, T), mindre märgborre (S, T), platt fjädermossa (S, T), stubbspretmossa (S, T), trind spretmossa (S), vanlig rörsvepemossa (S, T), västlig hakmossa (S), blåsippa (T, §9),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