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23933-2026 i Bengtsfors kommun</w:t>
      </w:r>
    </w:p>
    <w:p>
      <w:r>
        <w:t>Detta klagomål behandlar höga naturvärden i avverkningsanmälan A 23933-2026 i Bengtsfors kommun som inkom 2026-05-25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3933-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6533103, E 345070 i SWEREF 99 TM.</w:t>
      </w:r>
    </w:p>
    <w:p>
      <w:r>
        <w:t>I och inom 8 meter från avverkningsanmälan finns fynd av 13 naturvårdsarter, varav 4 är rödlistade, 2 är fridlysta, 10 är typiska (T) och 3 är signalarter (S): ask (EN), stor skogsbäckmossa (VU), drillsnäppa (NT, §4), dunmossa (NT, T), blåsfliksmossa (S, T), stubbspretmossa (S, T), svart trolldruva (S, T), blåsippa (T, §9), hultbräken (T), kransmossa (T), källgräsmossa (T), skärmstarr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Skärmstarr </w:t>
      </w:r>
      <w:r>
        <w:t xml:space="preserve">är typisk art för </w:t>
      </w:r>
      <w:r>
        <w:rPr>
          <w:i/>
        </w:rPr>
        <w:t xml:space="preserve">9080 Lövsumpskog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