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8596-2022 i Bengtsfors kommun</w:t>
      </w:r>
    </w:p>
    <w:p>
      <w:r>
        <w:t>Detta dokument behandlar höga naturvärden i avverkningsanmälan A 8596-2022 i Bengtsfors kommun. Denna avverkningsanmälan inkom 2022-02-21 13:34:48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tallbit (VU, §4), havsörn (NT, §4) och kambräken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4006"/>
            <wp:docPr id="1" name="Picture 1"/>
            <wp:cNvGraphicFramePr>
              <a:graphicFrameLocks noChangeAspect="1"/>
            </wp:cNvGraphicFramePr>
            <a:graphic>
              <a:graphicData uri="http://schemas.openxmlformats.org/drawingml/2006/picture">
                <pic:pic>
                  <pic:nvPicPr>
                    <pic:cNvPr id="0" name="A 8596-2022 karta.png"/>
                    <pic:cNvPicPr/>
                  </pic:nvPicPr>
                  <pic:blipFill>
                    <a:blip r:embed="rId16"/>
                    <a:stretch>
                      <a:fillRect/>
                    </a:stretch>
                  </pic:blipFill>
                  <pic:spPr>
                    <a:xfrm>
                      <a:off x="0" y="0"/>
                      <a:ext cx="5486400" cy="3894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6537026, E 346077 i SWEREF 99 TM.</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Fridlysta arter</w:t>
      </w:r>
    </w:p>
    <w:p>
      <w:r>
        <w:t>Följande fridlysta arter har sina livsmiljöer och växtplatser i den avverkningsanmälda skogen: tallbit (VU, §4) och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rPr>
          <w:b/>
        </w:rPr>
        <w:t>Tallbit (VU, §4)</w:t>
      </w:r>
      <w:r>
        <w:t xml:space="preserve"> är rödlistad som sårbar och prioriterad art i Skogsvårdslagen. Den har minskat med 25–75 % de senaste 30 åren och minskningstakten överstiger gränsvärdet för Sårbar (VU) enligt A-kriteriet. (A4bc).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2024; Skogsstyrelsen, 2016). Observationer av tallbit i naturskog eller under häckningstid måste alltid utredas.</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Tallbit – ekologi samt krav på livsmiljön</w:t>
      </w:r>
    </w:p>
    <w:p>
      <w:r>
        <w:t xml:space="preserve">Tallbit (VU, §4) är rödlistad som sårbar, typisk art för </w:t>
      </w:r>
      <w:r>
        <w:rPr>
          <w:i/>
        </w:rPr>
        <w:t>9010 Taiga</w:t>
      </w:r>
      <w:r>
        <w:t xml:space="preserve">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