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40237-2025 i Bengtsfors kommun</w:t>
      </w:r>
    </w:p>
    <w:p>
      <w:r>
        <w:t>Detta klagomål behandlar höga naturvärden i avverkningsanmälan A 40237-2025 i Bengtsfors kommun som inkom 2025-08-25 och omfattar 2,2 ha.</w:t>
      </w:r>
    </w:p>
    <w:p>
      <w:pPr>
        <w:pStyle w:val="Caption"/>
      </w:pPr>
      <w:r>
        <w:drawing>
          <wp:inline xmlns:a="http://schemas.openxmlformats.org/drawingml/2006/main" xmlns:pic="http://schemas.openxmlformats.org/drawingml/2006/picture">
            <wp:extent cx="5486400" cy="4598336"/>
            <wp:docPr id="1" name="Picture 1"/>
            <wp:cNvGraphicFramePr>
              <a:graphicFrameLocks noChangeAspect="1"/>
            </wp:cNvGraphicFramePr>
            <a:graphic>
              <a:graphicData uri="http://schemas.openxmlformats.org/drawingml/2006/picture">
                <pic:pic>
                  <pic:nvPicPr>
                    <pic:cNvPr id="0" name="A 40237-2025 karta.png"/>
                    <pic:cNvPicPr/>
                  </pic:nvPicPr>
                  <pic:blipFill>
                    <a:blip r:embed="rId16"/>
                    <a:stretch>
                      <a:fillRect/>
                    </a:stretch>
                  </pic:blipFill>
                  <pic:spPr>
                    <a:xfrm>
                      <a:off x="0" y="0"/>
                      <a:ext cx="5486400" cy="459833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6529492, E 346690 i SWEREF 99 TM.</w:t>
      </w:r>
    </w:p>
    <w:p>
      <w:r>
        <w:t>I och inom 25 meter från avverkningsanmälan finns fynd av 15 naturvårdsarter, varav 7 är rödlistade, 3 är fridlysta, 7 är typiska (T) och 7 är signalarter (S): koppartaggsvamp (EN), hällebräcka (VU, §7), smalskaftslav (VU), fjällig taggsvamp s.str. (NT), gråbrun ängsfingersvamp (NT), nötkråka (NT, T, §4), sårläka (NT, T), brun klibbskivling (S), grov baronmossa (S, T), guldkremla (S), platt fjädermossa (S, T), skinnlav (S, T), svart trolldruva (S, T), svavelriska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Gråbrun ängsfingersvamp (NT) </w:t>
      </w:r>
      <w:r>
        <w:t>växer i naturliga gräsmarker, främst kalkrika, i såväl slåtter- som naturbetesmark. Den förekommer även i mer eller mindre sluten ädellövskog på kalkhaltig mulljord, då ofta på ytor med naken jord och uttunnat fältskikt. Skogsmiljöer av den typ arten trivs i har ofta ett stort skyddsvärde och eventuellt skogsbruk på dessa platser bör bedrivas skonsamt (SLU Artdatabanken, 2024).</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