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49914-2021 i Bengtsfors kommun</w:t>
      </w:r>
    </w:p>
    <w:p>
      <w:r>
        <w:t>Detta klagomål behandlar höga naturvärden i avverkningsanmälan A 49914-2021 i Bengtsfors kommun som inkom 2021-09-16 och omfattar 10,0 ha.</w:t>
      </w:r>
    </w:p>
    <w:p>
      <w:pPr>
        <w:pStyle w:val="Caption"/>
      </w:pPr>
      <w:r>
        <w:drawing>
          <wp:inline xmlns:a="http://schemas.openxmlformats.org/drawingml/2006/main" xmlns:pic="http://schemas.openxmlformats.org/drawingml/2006/picture">
            <wp:extent cx="5486400" cy="4570115"/>
            <wp:docPr id="1" name="Picture 1"/>
            <wp:cNvGraphicFramePr>
              <a:graphicFrameLocks noChangeAspect="1"/>
            </wp:cNvGraphicFramePr>
            <a:graphic>
              <a:graphicData uri="http://schemas.openxmlformats.org/drawingml/2006/picture">
                <pic:pic>
                  <pic:nvPicPr>
                    <pic:cNvPr id="0" name="A 49914-2021 karta.png"/>
                    <pic:cNvPicPr/>
                  </pic:nvPicPr>
                  <pic:blipFill>
                    <a:blip r:embed="rId16"/>
                    <a:stretch>
                      <a:fillRect/>
                    </a:stretch>
                  </pic:blipFill>
                  <pic:spPr>
                    <a:xfrm>
                      <a:off x="0" y="0"/>
                      <a:ext cx="5486400" cy="457011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6521680, E 339279 i SWEREF 99 TM.</w:t>
      </w:r>
    </w:p>
    <w:p>
      <w:r>
        <w:t>I avverkningsanmälan finns fynd av 11 naturvårdsarter, varav 3 är rödlistade, 6 är typiska (T) och 8 är signalarter (S): skogstrappmossa (NT), vedflikmossa (NT), vedtrappmossa (NT, T), blåsfliksmossa (S, T), fällmossa (S, T), guldlockmossa (S, T), klippfrullania (S, T), platt fjädermossa (S, T), purpurmylia (S), stor revmossa (S) och västlig hakmossa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Skogstrappmossa (NT) </w:t>
      </w:r>
      <w:r>
        <w:t>är knuten till barrnaturskog med höga naturvärden där den växer på murkna stammar, oftast grova granlågor. Då och då hittas den även på beskuggade urbergsklippor och på fuktig ved i sumpskog. Minskad förekomst av grov död ved av främst barrträd innebär ett hot. Då arten även kräver hög luftfuktighet och skugga utgör alla skogsskötselåtgärder på eller i omedelbar närhet av lokalerna ett hot. På kända lokaler bör ingen avverkning ske (SLU Artdatabanken, 2024).</w:t>
      </w:r>
    </w:p>
    <w:p>
      <w:r>
        <w:rPr>
          <w:b/>
        </w:rPr>
        <w:t xml:space="preserve">Vedflikmossa (NT) </w:t>
      </w:r>
      <w:r>
        <w:t>är strikt knuten till död ved i främst Norrlands barrskogar. Fanns tidigare även i södra Sveriges skogar men är borta där. Eftersom arten huvudsakligen är hänvisad till skog där träd fått växa kontinuerligt under flera hundra år (kontinuitetsskog), inte klarar av en kalhyggesfas och har svårt att sprida sig över stora avstånd, bedöms populationen fortsätta att minska på grund av dagens avverkningstakt av kontinuitetsskog. För att hejda populationsminskningen av denna art måste kalavverkning i de barrskogar som tidigare aldrig kalhuggits (kontinuitetsskog) upphöra eller begränsas kraftigt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Blåsfliksmossa </w:t>
      </w:r>
      <w:r>
        <w:t xml:space="preserve">växer i skuggiga och fuktiga miljöer på klippor och stenar av såväl grönsten som silikat, till exempel intill naturliga skogsbäckar, i raviner och bergbranter. Den signalerar höga naturvärden främst i östra och norra Sverige och indikerar miljöer med jämn och hög luftfuktighet och ett basiskt underlag. Artens lokaler har ofta hög artrikedom. Blåsfliksmossa är typisk art för </w:t>
      </w:r>
      <w:r>
        <w:rPr>
          <w:i/>
        </w:rPr>
        <w:t>9080 Lövsumpskog</w:t>
      </w:r>
      <w:r>
        <w:t xml:space="preserve"> (SLU Artdatabanken, 2025;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Klippfrullania</w:t>
      </w:r>
      <w:r>
        <w:t xml:space="preserve"> är i centrala, östra och norra Sverige en bra signalart. Den påträffas där i skyddsvärda skogsmiljöer med lång kontinuitet av gamla träd i halvöppen terräng, samt trädklädda bergbranter med ett mikroklimat som har konstant hög och jämn luftfuktighet året om. Klippfrullania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 xml:space="preserve">Purpurmylia </w:t>
      </w:r>
      <w:r>
        <w:t>indikerar mycket hög och jämn fuktighet, både i substratet och i luften, samt kalkfattiga och fukthållande underlag. Förekomster i skog signalerar höga naturvärden. Arten kräver i låglandet äldre skog med riklig tillgång på grova lågor som fått ligga länge i skugga och i kontakt med fuktig mark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