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13065-2026 i Bengtsfors kommun</w:t>
      </w:r>
    </w:p>
    <w:p>
      <w:r>
        <w:t>Detta klagomål behandlar höga naturvärden i avverkningsanmälan A 13065-2026 i Bengtsfors kommun som inkom 2026-03-12 och omfattar 0,8 ha.</w:t>
      </w:r>
    </w:p>
    <w:p>
      <w:pPr>
        <w:pStyle w:val="Caption"/>
      </w:pPr>
      <w:r>
        <w:drawing>
          <wp:inline xmlns:a="http://schemas.openxmlformats.org/drawingml/2006/main" xmlns:pic="http://schemas.openxmlformats.org/drawingml/2006/picture">
            <wp:extent cx="5486400" cy="4595689"/>
            <wp:docPr id="1" name="Picture 1"/>
            <wp:cNvGraphicFramePr>
              <a:graphicFrameLocks noChangeAspect="1"/>
            </wp:cNvGraphicFramePr>
            <a:graphic>
              <a:graphicData uri="http://schemas.openxmlformats.org/drawingml/2006/picture">
                <pic:pic>
                  <pic:nvPicPr>
                    <pic:cNvPr id="0" name="A 13065-2026 karta.png"/>
                    <pic:cNvPicPr/>
                  </pic:nvPicPr>
                  <pic:blipFill>
                    <a:blip r:embed="rId16"/>
                    <a:stretch>
                      <a:fillRect/>
                    </a:stretch>
                  </pic:blipFill>
                  <pic:spPr>
                    <a:xfrm>
                      <a:off x="0" y="0"/>
                      <a:ext cx="5486400" cy="459568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6556663, E 353460 i SWEREF 99 TM.</w:t>
      </w:r>
    </w:p>
    <w:p>
      <w:r>
        <w:t>I och inom 18 meter från avverkningsanmälan finns fynd av 12 naturvårdsarter, varav 4 är rödlistade, 2 är fridlysta, 10 är typiska (T) och 6 är signalarter (S): dunmossa (NT, T), flikbålmossa (NT), platt spretmossa (NT, T), vedtrappmossa (NT, T), bågpraktmossa (S, T), mörk husmossa (S, T), skogshakmossa (S, T), stor revmossa (S), terpentinmossa (S, T), vanlig rörsvepemossa (S, T), mattlummer (T, §9)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Flikbålmossa (NT)</w:t>
      </w:r>
      <w:r>
        <w:t xml:space="preserve"> växer i rikkärr, källkärr och sumpskog. Arten förekommer främst i södra Sverige (sällsynt i Norrland). Dikning och igenväxning av rikkärr och minskning av sumpskog och källor i södra Sverige gör att arten bedöms ha en fortgående minskning (SLU Artdatabanken, 2026).</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