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32397-2021 i Melleruds kommun</w:t>
      </w:r>
    </w:p>
    <w:p>
      <w:r>
        <w:t>Detta dokument behandlar höga naturvärden i avverkningsanmälan A 32397-2021 i Melleruds kommun. Denna avverkningsanmälan inkom 2021-06-24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skirmossa (NT, §8), svart askbastborre (NT), dunmossa (S), korallblylav (S), stor revmossa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16794"/>
            <wp:docPr id="1" name="Picture 1"/>
            <wp:cNvGraphicFramePr>
              <a:graphicFrameLocks noChangeAspect="1"/>
            </wp:cNvGraphicFramePr>
            <a:graphic>
              <a:graphicData uri="http://schemas.openxmlformats.org/drawingml/2006/picture">
                <pic:pic>
                  <pic:nvPicPr>
                    <pic:cNvPr id="0" name="A 32397-2021 karta.png"/>
                    <pic:cNvPicPr/>
                  </pic:nvPicPr>
                  <pic:blipFill>
                    <a:blip r:embed="rId16"/>
                    <a:stretch>
                      <a:fillRect/>
                    </a:stretch>
                  </pic:blipFill>
                  <pic:spPr>
                    <a:xfrm>
                      <a:off x="0" y="0"/>
                      <a:ext cx="5486400" cy="2716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6504691, E 341512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skirmossa (NT,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t>I BILAGA 1 finns mer detaljerad information om ekologi samt krav på livsmiljö hos fridlysta arter.</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