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53463-2024 i Melleruds kommun</w:t>
      </w:r>
    </w:p>
    <w:p>
      <w:r>
        <w:t>Detta klagomål behandlar höga naturvärden i avverkningsanmälan A 53463-2024 i Melleruds kommun som inkom 2024-11-18 och omfattar 1,8 ha.</w:t>
      </w:r>
    </w:p>
    <w:p>
      <w:pPr>
        <w:pStyle w:val="Caption"/>
      </w:pPr>
      <w:r>
        <w:drawing>
          <wp:inline xmlns:a="http://schemas.openxmlformats.org/drawingml/2006/main" xmlns:pic="http://schemas.openxmlformats.org/drawingml/2006/picture">
            <wp:extent cx="5486400" cy="5001699"/>
            <wp:docPr id="1" name="Picture 1"/>
            <wp:cNvGraphicFramePr>
              <a:graphicFrameLocks noChangeAspect="1"/>
            </wp:cNvGraphicFramePr>
            <a:graphic>
              <a:graphicData uri="http://schemas.openxmlformats.org/drawingml/2006/picture">
                <pic:pic>
                  <pic:nvPicPr>
                    <pic:cNvPr id="0" name="A 53463-2024 karta.png"/>
                    <pic:cNvPicPr/>
                  </pic:nvPicPr>
                  <pic:blipFill>
                    <a:blip r:embed="rId16"/>
                    <a:stretch>
                      <a:fillRect/>
                    </a:stretch>
                  </pic:blipFill>
                  <pic:spPr>
                    <a:xfrm>
                      <a:off x="0" y="0"/>
                      <a:ext cx="5486400" cy="500169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6517829, E 348511 i SWEREF 99 TM.</w:t>
      </w:r>
    </w:p>
    <w:p>
      <w:r>
        <w:t>I och inom 24 meter från avverkningsanmälan finns fynd av 10 naturvårdsarter, varav 5 är rödlistade, 1 är fridlyst, 1 är typisk (T) och 5 är signalarter (S): grålila vaxing (VU), uddbräken (VU, §8), lädervaxing (NT), scharlakansvaxing (NT), sårläka (NT, T), blodvaxing (S), honungsvaxing (S), igelkottsröksvamp (S), luktvaxing (S) och ängsvaxing agg.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Uddbräken (VU, §8)</w:t>
      </w:r>
      <w:r>
        <w:t xml:space="preserve"> växer på stenig och mullrik skogsmark, särskilt i ängsgranskog och gärna på sluttande underlag. Den kräver beskuggning för att trivas och är utpräglat kalkgynnad. Arten är starkt hotad av skogsbruksåtgärder och slutavverkning med åtföljande ökat ljusinsläpp medför ofelbart att exemplaren vissnar ned. Redan sommaren efter en slutavverkning gulnar bladen och efter 2–3 år är växten helt nedvissnad. Slutavverkning måste undvikas på lokalerna och tillräckligt stora skyddszoner måste lämnas kring växtplatserna för att undvika sekundära skador genom stormfällning. Uddbräken är fridlyst enligt 8 § artskyddsförordningen (SLU Artdatabanken, 2024).</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