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klagomål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25 meter från avverkningsanmälan finns fynd av 23 naturvårdsarter, varav 5 är rödlistade, 4 är fridlysta, 14 är typiska (T) och 14 är signalarter (S): scharlakansvaxing (NT), svart askbastborre (NT), sårläka (NT, T), tjockfotad fingersvamp (NT), vedtrappmossa (NT, T), blek stjärnmossa (S, T), brandticka (S), fällmossa (S, T), grov baronmossa (S, T), grön sköldmossa (S, T, §8), guldlockmossa (S, T), mindre märgborre (S, T), platt fjädermossa (S, T), stubbspretmossa (S, T), svavelriska (S), thomsons trägnagare (S), traslav (S), trädporella (S, T), vågbandad barkbock (S), blåsippa (T, §9), spillkråka (T, §4),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