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26 naturvårdsarter, varav 5 är rödlistade, 3 är fridlysta, 20 är typiska (T) och 18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vätteros (S, T), vågbandad barkbock (S), blåsippa (T, §9),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vätteros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