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43427-2019 i Melleruds kommun</w:t>
      </w:r>
    </w:p>
    <w:p>
      <w:r>
        <w:t>Detta dokument behandlar höga naturvärden i avverkningsanmälan A 43427-2019 i Melleruds kommun. Denna avverkningsanmälan inkom 2019-08-26 och omfattar 10,6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blylav (EN), blå säckmossa (VU), liten hornflikmossa (VU), vedsäckmossa (VU), västlig njurlav (VU), grynig filtlav (NT), lunglav (NT), mindre hackspett (NT, §4), stubbtrådmossa (NT), vedtrappmossa (NT), bågpraktmossa (S), bårdlav (S), grov fjädermossa (S), grön sköldmossa (S, §8), korallblylav (S), källpraktmossa (S), mörk husmossa (S), skogshakmossa (S), slanklav (S), stor aspticka (S), stor revmossa (S), stubbspretmossa (S) och trind spretmossa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43427-2019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6523690, E 342402 i SWEREF 99 TM.</w:t>
      </w:r>
    </w:p>
    <w:p>
      <w:r>
        <w:rPr>
          <w:b/>
        </w:rPr>
        <w:t>Blylav (EN)</w:t>
      </w:r>
      <w:r>
        <w:t xml:space="preserve"> är en starkt hotad art som växer på lövträd, huvudsakligen asp och ask i öppen gammal lövskog. Den är beroende av hög och jämn luftfuktighet och den har troligen svårt att överleva en slutavverkning även om värdträden sparas. Därför är utglesning av skog på eller i omedelbar närhet av lavens lokaler ett hot. Arten är placerad högst upp i Skogsstyrelsens värdepyramid för bedömning av skog med höga naturvärden. Särskilt rika förekomster, som kan fungera som spridningscentra, bör skyddas och tills vidare bör skogsskötselåtgärder undvikas på lokaler där arten finns. På blylav kan ibland de två mycket sällsynta lavparasiterna blylavsknagg (CR) och blylavsvårta (EN) påträffas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enligt A-kriteriet. (A3bc) (SLU Artdatabanken, 2024; Nitare &amp; Skogsstyrelsen, 2019).</w:t>
      </w:r>
    </w:p>
    <w:p>
      <w:pPr>
        <w:pStyle w:val="Heading1"/>
      </w:pPr>
      <w:r>
        <w:t>Fridlysta arter</w:t>
      </w:r>
    </w:p>
    <w:p>
      <w:r>
        <w:t>Följande fridlysta arter har sina livsmiljöer och växtplatser i den avverkningsanmälda skogen: mindre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