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53463-2024 i Melleruds kommun</w:t>
      </w:r>
    </w:p>
    <w:p>
      <w:r>
        <w:t>Detta dokument behandlar höga naturvärden i avverkningsanmälan A 53463-2024 i Melleruds kommun. Denna avverkningsanmälan inkom 2024-11-18 13:15:46 och omfattar 1,8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10 naturvårdsarter hittats: grålila vaxing (VU), uddbräken (VU, §8), lädervaxing (NT), scharlakansvaxing (NT), blodvaxing (S), honungsvaxing (S), igelkottsröksvamp (S), luktvaxing (S), sårläka (S) och ängsvaxskivling (S).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97813"/>
            <wp:docPr id="1" name="Picture 1"/>
            <wp:cNvGraphicFramePr>
              <a:graphicFrameLocks noChangeAspect="1"/>
            </wp:cNvGraphicFramePr>
            <a:graphic>
              <a:graphicData uri="http://schemas.openxmlformats.org/drawingml/2006/picture">
                <pic:pic>
                  <pic:nvPicPr>
                    <pic:cNvPr id="0" name="A 53463-2024 karta.png"/>
                    <pic:cNvPicPr/>
                  </pic:nvPicPr>
                  <pic:blipFill>
                    <a:blip r:embed="rId16"/>
                    <a:stretch>
                      <a:fillRect/>
                    </a:stretch>
                  </pic:blipFill>
                  <pic:spPr>
                    <a:xfrm>
                      <a:off x="0" y="0"/>
                      <a:ext cx="5486400" cy="50978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6517829, E 348511 i SWEREF 99 TM.</w:t>
      </w:r>
    </w:p>
    <w:p>
      <w:r>
        <w:rPr>
          <w:b/>
        </w:rPr>
        <w:t xml:space="preserve">Igelkottsröksvamp </w:t>
      </w:r>
      <w:r>
        <w:t>är överallt en bra signalart på skyddsvärda ädellövskogar och lövlundar. Svampen är kalkgynnad och indikerar lokalklimatiskt varma men samtidigt relativt fuktiga lövskogar. Växtmiljön utgörs vanligtvis av äldre successionsstadier inom områden med långvarig trädkontinuitet och lokalerna hyser oftast en rik lundflora med många andra ovanliga och rödlistade arter. Skogsbruk som bryter den skogliga kontinuiteten och förändrade markförhållanden missgynnar arten (SLU Artdatabanken, 2024; Nitare &amp; Skogsstyrelsen, 2019).</w:t>
      </w:r>
    </w:p>
    <w:p>
      <w:r>
        <w:rPr>
          <w:b/>
        </w:rPr>
        <w:t xml:space="preserve">Luktvaxing </w:t>
      </w:r>
      <w:r>
        <w:t>växer mindre allmänt men lokalt ganska rikligt på naturbetsmark, även inne i rika lövlundar. Den är tydligt kalkgynnad och vanligast i kalktrakter. Lukten är speciell, påminnande om bärfis eller ekriska (</w:t>
      </w:r>
      <w:r>
        <w:rPr>
          <w:i/>
        </w:rPr>
        <w:t>Lactarius quietus</w:t>
      </w:r>
      <w:r>
        <w:t>). Arten är globalt rödlistad som sårbar (VU) vilket innebär att Sverige har ett internationellt ansvar för arten (SLU Artdatabanken, 2024; IUCN, 2024).</w:t>
      </w:r>
    </w:p>
    <w:p>
      <w:r>
        <w:rPr>
          <w:b/>
        </w:rPr>
        <w:t xml:space="preserve">Scharlakansvaxing (NT) </w:t>
      </w:r>
      <w:r>
        <w:t>växer mest på magra, ogödslade naturbetes- och slåttermarker men kan sällsynt även påträffas i luckig skogsmark och på rikare mulljord i ädellövskog. Arten är globalt rödlistad som sårbar (VU) vilket innebär att Sverige har ett internationellt ansvar för arten (SLU Artdatabanken, 2024; IUCN, 2019).</w:t>
      </w:r>
    </w:p>
    <w:p>
      <w:r>
        <w:rPr>
          <w:b/>
        </w:rPr>
        <w:t>Sårläka</w:t>
      </w:r>
      <w:r>
        <w:t xml:space="preserve"> växer på mullrik mark i skuggiga eller halvskuggiga lövskogar och lundar men också i örtrika kalkbarrskogar. Arten ingår i en exklusiv lundflora som bara uppträder i de allra rikaste kalkbarrskogarna söder om den biologiska norrlandsgränsen. I ädellövskogar och lundar är den också knuten till områden med en mycket rik mångfald av naturvårdsarter. Sårläka är värdväxt för den rödlistade fjärilen sårläkeplattmal (NT) (SLU Artdatabanken, 2024; Nitare &amp; Skogsstyrelsen, 2019).</w:t>
      </w:r>
    </w:p>
    <w:p>
      <w:pPr>
        <w:pStyle w:val="Heading1"/>
      </w:pPr>
      <w:r>
        <w:t>Fridlysta arter</w:t>
      </w:r>
    </w:p>
    <w:p>
      <w:r>
        <w:t>Följande fridlysta arter har sina livsmiljöer och växtplatser i den avverkningsanmälda skogen: uddbräken (VU, §8).</w:t>
      </w:r>
    </w:p>
    <w:p>
      <w:r>
        <w:rPr>
          <w:b/>
        </w:rPr>
        <w:t>Uddbräken (VU, §8)</w:t>
      </w:r>
      <w:r>
        <w:t xml:space="preserve"> växer på stenig och mullrik skogsmark, särskilt i ängsgranskog och gärna på sluttande underlag. Den kräver beskuggning för att trivas och är utpräglat kalkgynnad. Arten är starkt hotad av skogsbruksåtgärder och slutavverkning med åtföljande ökat ljusinsläpp medför ofelbart att exemplaren vissnar ned. Redan sommaren efter en slutavverkning gulnar bladen och efter 2–3 år är växten helt nedvissnad. Slutavverkning måste undvikas på lokalerna och tillräckligt stora skyddszoner måste lämnas kring växtplatserna för att undvika sekundära skador genom stormfällning. Uddbräken är fridlyst enligt 8 § artskyddsförordningen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10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