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26 naturvårdsarter, varav 5 är rödlistade, 3 är fridlysta, 20 är typiska (T) och 18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vätteros (S, T), vågbandad barkbock (S), blåsippa (T, §9),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