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1383-2021 i Melleruds kommun</w:t>
      </w:r>
    </w:p>
    <w:p>
      <w:r>
        <w:t>Detta dokument behandlar höga naturvärden i avverkningsanmälan A 1383-2021 i Melleruds kommun. Denna avverkningsanmälan inkom 2021-01-12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uddbräken (VU, §8), kambräken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1383-2021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6511356, E 346392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uddbräken (VU, §8).</w:t>
      </w:r>
    </w:p>
    <w:p>
      <w:r>
        <w:rPr>
          <w:b/>
        </w:rPr>
        <w:t>Uddbräken (VU, §8)</w:t>
      </w:r>
      <w:r>
        <w:t xml:space="preserve"> växer på stenig och mullrik skogsmark, särskilt i ängsgranskog och gärna på sluttande underlag. Den kräver beskuggning för att trivas och är utpräglat kalkgynnad. Arten är starkt hotad av skogsbruksåtgärder och slutavverkning med åtföljande ökat ljusinsläpp medför ofelbart att exemplaren vissnar ned. Redan sommaren efter en slutavverkning gulnar bladen och efter 2–3 år är växten helt nedvissnad. Slutavverkning måste undvikas på lokalerna och tillräckligt stora skyddszoner måste lämnas kring växtplatserna för att undvika sekundära skador genom stormfällning. Uddbräken är fridlyst enligt 8 § artskyddsförordningen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