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24 naturvårdsarter, varav 5 är rödlistade, 2 är fridlysta, 19 är typiska (T) och 17 är signalarter (S): gränsticka (VU, T), gullpudra (NT, T), svart askbastborre (NT), sårläka (NT, T), vårärt (NT, T), barkticka (S, T), björksplintborre (S), bronshjon (S, T), fällmossa (S, T), grov baronmossa (S, T), grov fjädermossa (S, T), grön sköldmossa (S, T, §8), grönpyrola (S, T), guldlockmossa (S, T), korallblylav (S, T), platt fjädermossa (S, T), stor aspticka (S, T), stubbspretmossa (S, T), svart trolldruva (S, T), thomsons trägnagare (S), traslav (S), vågbandad barkbock (S), blåsippa (T, §9)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sårläka (NT, T), vårärt (NT, T), barkticka (S, T), bronshjon (S, T), fällmossa (S, T), grov baronmossa (S, T), grov fjädermossa (S, T), grön sköldmossa (S, T, §8), grönpyrola (S, T), guldlockmossa (S, T), korallblylav (S, T), platt fjädermossa (S, T), stor aspticka (S, T), stubbspretmossa (S, T), svart trolldruva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