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26678-2026 i Melleruds kommun</w:t>
      </w:r>
    </w:p>
    <w:p>
      <w:r>
        <w:t>Detta klagomål behandlar höga naturvärden i avverkningsanmälan A 26678-2026 i Melleruds kommun som inkom 2026-06-11 och omfattar 5,8 ha.</w:t>
      </w:r>
    </w:p>
    <w:p>
      <w:pPr>
        <w:pStyle w:val="Caption"/>
      </w:pPr>
      <w:r>
        <w:drawing>
          <wp:inline xmlns:a="http://schemas.openxmlformats.org/drawingml/2006/main" xmlns:pic="http://schemas.openxmlformats.org/drawingml/2006/picture">
            <wp:extent cx="5462388" cy="5724000"/>
            <wp:docPr id="1" name="Picture 1"/>
            <wp:cNvGraphicFramePr>
              <a:graphicFrameLocks noChangeAspect="1"/>
            </wp:cNvGraphicFramePr>
            <a:graphic>
              <a:graphicData uri="http://schemas.openxmlformats.org/drawingml/2006/picture">
                <pic:pic>
                  <pic:nvPicPr>
                    <pic:cNvPr id="0" name="A 26678-2026 karta.png"/>
                    <pic:cNvPicPr/>
                  </pic:nvPicPr>
                  <pic:blipFill>
                    <a:blip r:embed="rId16"/>
                    <a:stretch>
                      <a:fillRect/>
                    </a:stretch>
                  </pic:blipFill>
                  <pic:spPr>
                    <a:xfrm>
                      <a:off x="0" y="0"/>
                      <a:ext cx="546238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6519411, E 348674 i SWEREF 99 TM.</w:t>
      </w:r>
    </w:p>
    <w:p>
      <w:r>
        <w:t>I och inom 25 meter från avverkningsanmälan finns fynd av 30 naturvårdsarter, varav 6 är rödlistade, 3 är fridlysta, 22 är typiska (T) och 21 är signalarter (S): gränsticka (VU, T), grynig filtlav (NT, T), gullpudra (NT, T), svart askbastborre (NT), sårläka (NT, T), vårärt (NT, T), barkticka (S, T), björksplintborre (S), bronshjon (S, T), fällmossa (S, T), grov baronmossa (S, T), grov fjädermossa (S, T), grön sköldmossa (S, T, §8), grönpyrola (S, T), guldkremla (S), guldlockmossa (S, T), korallblylav (S, T), platt fjädermossa (S, T), skogshakmossa (S, T), stor aspticka (S, T), stubbspretmossa (S, T), svart trolldruva (S, T), svavelriska (S), thomsons trägnagare (S), traslav (S), vätteros (S, T), vågbandad barkbock (S), blåsippa (T, §9), skogsbingel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Skogsbingel</w:t>
      </w:r>
      <w:r>
        <w:t xml:space="preserve"> är typisk art för </w:t>
      </w:r>
      <w:r>
        <w:rPr>
          <w:i/>
        </w:rPr>
        <w:t xml:space="preserve">9050 Näringsrik granskog, 9020 Nordlig ädellövskog, 9130 Näringsrik bokskog, 9160 Näringsrik ekskog </w:t>
      </w:r>
      <w:r>
        <w:t>och</w:t>
      </w:r>
      <w:r>
        <w:rPr>
          <w:i/>
        </w:rPr>
        <w:t xml:space="preserve"> 9180 Ädellövskog i branter</w:t>
      </w:r>
      <w:r>
        <w:t>. På skogsbingel kan i lundar och lövskogar den rödlistade arten bingeljordloppa (NT) påträffas. Bingeljordloppans larver äter på värdväxtens rötter. Fullbildade individer påträffas främst under vår och försommar. Den är mycket lokal i sitt uppträdande eftersom arten har svagt utvecklade flygvingar och saknar flygförmåga (SLU Artdatabanken, 2026).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