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13115-2025 i Melleruds kommun</w:t>
      </w:r>
    </w:p>
    <w:p>
      <w:r>
        <w:t>Detta klagomål behandlar höga naturvärden i avverkningsanmälan A 13115-2025 i Melleruds kommun som inkom 2025-03-18 och omfattar 1,2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13115-2025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6504696, E 341330 i SWEREF 99 TM.</w:t>
      </w:r>
    </w:p>
    <w:p>
      <w:r>
        <w:t>I och inom 24 meter från avverkningsanmälan finns fynd av 9 naturvårdsarter, varav 5 är rödlistade, 2 är fridlysta, 6 är typiska (T) och 3 är signalarter (S): skirmossa (VU, T, §8), blå säckmossa (NT), dofttaggsvamp (NT, T), dunmossa (NT, T), svart askbastborre (NT), kambräken (S, T), korallblylav (S, T), stor revmossa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Blå säckmossa (NT)</w:t>
      </w:r>
      <w:r>
        <w:t xml:space="preserve"> växer vanligen på fuktig humus eller lerblandad jord i granskog men även på lövförna i sumpalskog, gärna i anslutning till källor eller andra utströmningsområden. Liksom övriga säckmossor tål arten varken uttorkning eller full solbelysning någon längre tid. Till skillnad från övriga arter i släktet föredrar blå säckmossa relativt näringsrika skogar och ofta skogsmiljöer med rörligt grundvatten. Största hotet utgörs av kalavverkning och andra skogliga brukningsformer som innebär kraftig ljusexponering av växtplatserna eller som gör att plantorna torkar upp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