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26 naturvårdsarter, varav 5 är rödlistade, 3 är fridlysta, 20 är typiska (T) och 18 är signalarter (S): gränsticka (VU, T), gullpudra (NT, T), svart askbastborre (NT), sårläka (NT, T), vårärt (NT, T), barkticka (S, T), björksplintborre (S), bronshjon (S, T), fällmossa (S, T), grov baronmossa (S, T), grov fjädermossa (S, T), grön sköldmossa (S, T, §8), grönpyrola (S, T), guldlockmossa (S, T), korallblylav (S, T), platt fjädermossa (S, T), stor aspticka (S, T), stubbspretmossa (S, T), svart trolldruva (S, T), thomsons trägnagare (S), traslav (S), vätteros (S, T), vågbandad barkbock (S), blåsippa (T, §9),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sårläka (NT, T), vårärt (NT, T), barkticka (S, T), bronshjon (S, T), fällmossa (S, T), grov baronmossa (S, T), grov fjädermossa (S, T), grön sköldmossa (S, T, §8), grönpyrola (S, T), guldlockmossa (S, T), korallblylav (S, T), platt fjädermossa (S, T), stor aspticka (S, T), stubbspretmossa (S, T), svart trolldruva (S, T), vätteros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