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25298-2024 i Lilla Edets kommun</w:t>
      </w:r>
    </w:p>
    <w:p>
      <w:r>
        <w:t>Denna tillsynsbegäran behandlar höga naturvärden i avverkningsanmälan A 25298-2024 i Lilla Edets kommun som inkom 2024-06-19 och omfattar 5,9 ha.</w:t>
      </w:r>
    </w:p>
    <w:p>
      <w:pPr>
        <w:pStyle w:val="Caption"/>
      </w:pPr>
      <w:r>
        <w:drawing>
          <wp:inline xmlns:a="http://schemas.openxmlformats.org/drawingml/2006/main" xmlns:pic="http://schemas.openxmlformats.org/drawingml/2006/picture">
            <wp:extent cx="5486400" cy="4185501"/>
            <wp:docPr id="1" name="Picture 1"/>
            <wp:cNvGraphicFramePr>
              <a:graphicFrameLocks noChangeAspect="1"/>
            </wp:cNvGraphicFramePr>
            <a:graphic>
              <a:graphicData uri="http://schemas.openxmlformats.org/drawingml/2006/picture">
                <pic:pic>
                  <pic:nvPicPr>
                    <pic:cNvPr id="0" name="A 25298-2024 karta.png"/>
                    <pic:cNvPicPr/>
                  </pic:nvPicPr>
                  <pic:blipFill>
                    <a:blip r:embed="rId16"/>
                    <a:stretch>
                      <a:fillRect/>
                    </a:stretch>
                  </pic:blipFill>
                  <pic:spPr>
                    <a:xfrm>
                      <a:off x="0" y="0"/>
                      <a:ext cx="5486400" cy="41855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6435553, E 336009 i SWEREF 99 TM.</w:t>
      </w:r>
    </w:p>
    <w:p>
      <w:r>
        <w:t>I avverkningsanmälan finns fynd av 4 naturvårdsarter, varav 2 är fridlysta, 1 är typisk (T) och 2 är signalarter (S): björksplintborre (S), västlig hakmossa (S),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