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23494-2023 i Lilla Edets kommun</w:t>
      </w:r>
    </w:p>
    <w:p>
      <w:r>
        <w:t>Denna tillsynsbegäran behandlar höga naturvärden i avverkningsanmälan A 23494-2023 i Lilla Edets kommun som inkom 2023-05-26 och omfattar 1,3 ha.</w:t>
      </w:r>
    </w:p>
    <w:p>
      <w:pPr>
        <w:pStyle w:val="Caption"/>
      </w:pPr>
      <w:r>
        <w:drawing>
          <wp:inline xmlns:a="http://schemas.openxmlformats.org/drawingml/2006/main" xmlns:pic="http://schemas.openxmlformats.org/drawingml/2006/picture">
            <wp:extent cx="5486400" cy="4719058"/>
            <wp:docPr id="1" name="Picture 1"/>
            <wp:cNvGraphicFramePr>
              <a:graphicFrameLocks noChangeAspect="1"/>
            </wp:cNvGraphicFramePr>
            <a:graphic>
              <a:graphicData uri="http://schemas.openxmlformats.org/drawingml/2006/picture">
                <pic:pic>
                  <pic:nvPicPr>
                    <pic:cNvPr id="0" name="A 23494-2023 karta.png"/>
                    <pic:cNvPicPr/>
                  </pic:nvPicPr>
                  <pic:blipFill>
                    <a:blip r:embed="rId16"/>
                    <a:stretch>
                      <a:fillRect/>
                    </a:stretch>
                  </pic:blipFill>
                  <pic:spPr>
                    <a:xfrm>
                      <a:off x="0" y="0"/>
                      <a:ext cx="5486400" cy="4719058"/>
                    </a:xfrm>
                    <a:prstGeom prst="rect"/>
                  </pic:spPr>
                </pic:pic>
              </a:graphicData>
            </a:graphic>
          </wp:inline>
        </w:drawing>
      </w:r>
    </w:p>
    <w:p>
      <w:pPr>
        <w:pStyle w:val="Caption"/>
        <w:spacing w:after="240"/>
      </w:pPr>
      <w:r>
        <w:t>Figur 1. Fyndplatser för naturvårdsarter i och inom 12 meter från avverkningsanmälan. Markörer utan svart kant är placerade på fyndplatsen. Markörer med svart kant är placerade vid sidan av fyndplatsen och har ett svart streck som visar fyndplatsens exakta position. Kartans mittpunktskoordinat är N 6453517, E 327373 i SWEREF 99 TM.</w:t>
      </w:r>
    </w:p>
    <w:p>
      <w:r>
        <w:t>I och inom 12 meter från avverkningsanmälan finns fynd av 2 naturvårdsarter, varav 2 är fridlysta och 1 är typisk (T): spillkråka (T, §4) och revlummer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