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24289-2026 i Lilla Edets kommun</w:t>
      </w:r>
    </w:p>
    <w:p>
      <w:r>
        <w:t>Detta klagomål behandlar höga naturvärden i avverkningsanmälan A 24289-2026 i Lilla Edets kommun som inkom 2026-05-27 och omfattar 12,2 ha.</w:t>
      </w:r>
    </w:p>
    <w:p>
      <w:pPr>
        <w:pStyle w:val="Caption"/>
      </w:pPr>
      <w:r>
        <w:drawing>
          <wp:inline xmlns:a="http://schemas.openxmlformats.org/drawingml/2006/main" xmlns:pic="http://schemas.openxmlformats.org/drawingml/2006/picture">
            <wp:extent cx="4811307" cy="5724000"/>
            <wp:docPr id="1" name="Picture 1"/>
            <wp:cNvGraphicFramePr>
              <a:graphicFrameLocks noChangeAspect="1"/>
            </wp:cNvGraphicFramePr>
            <a:graphic>
              <a:graphicData uri="http://schemas.openxmlformats.org/drawingml/2006/picture">
                <pic:pic>
                  <pic:nvPicPr>
                    <pic:cNvPr id="0" name="A 24289-2026 karta.png"/>
                    <pic:cNvPicPr/>
                  </pic:nvPicPr>
                  <pic:blipFill>
                    <a:blip r:embed="rId16"/>
                    <a:stretch>
                      <a:fillRect/>
                    </a:stretch>
                  </pic:blipFill>
                  <pic:spPr>
                    <a:xfrm>
                      <a:off x="0" y="0"/>
                      <a:ext cx="481130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6442573, E 336246 i SWEREF 99 TM.</w:t>
      </w:r>
    </w:p>
    <w:p>
      <w:r>
        <w:t>I och inom 22 meter från avverkningsanmälan finns fynd av 13 naturvårdsarter, varav 4 är rödlistade, 9 är fridlysta, 5 är typiska (T) och 4 är signalarter (S): tornseglare (VU, §4), järnsparv (NT, §4), ladusvala (NT, §4), talltita (NT, §4), blåmossa (S, T), klippfrullania (S, T), västlig hakmossa (S), vågbandad barkbock (S), nattskärra (T, §4), spillkråka (T, §4), tofsmes (T, §4), kungsfågel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