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30854-2024 i Marks kommun</w:t>
      </w:r>
    </w:p>
    <w:p>
      <w:r>
        <w:t>Detta dokument behandlar höga naturvärden i avverkningsanmälan A 30854-2024 i Marks kommun. Denna avverkningsanmälan inkom 2024-07-24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tornseglare (EN, §4), hussvala (VU, §4), tofsvipa (VU, §4), buskskvätta (NT, §4), duvhök (NT, §4), kornknarr (NT, §4), kråka (NT, §4), nordfladdermus (NT, §4a), bårdlav (S), dvärgpipistrell (§4a) och större brunfladdermus (§4a).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6373370, E 347181 i SWEREF 99 TM.</w:t>
      </w:r>
    </w:p>
    <w:p>
      <w:pPr>
        <w:pStyle w:val="Heading1"/>
      </w:pPr>
      <w:r>
        <w:t>Fridlysta arter</w:t>
      </w:r>
    </w:p>
    <w:p>
      <w:r>
        <w:t>Följande fridlysta arter har sina livsmiljöer och växtplatser i den avverkningsanmälda skogen: tornseglare (EN, §4), hussvala (VU, §4), tofsvipa (VU, §4), buskskvätta (NT, §4), duvhök (NT, §4), kornknarr (NT, §4), kråka (NT, §4), nordfladdermus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