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Detta dokument behandlar höga naturvärden i avverkningsanmälan A 30854-2024 i Marks kommun som inkom 2024-07-24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6373370, E 347181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kornknarr (EN, §4), hussvala (VU, §4), tofsvipa (VU, §4), tornseglare (VU, §4), duvhök (NT, §4), ladusvala (NT, §4), nordfladdermus (NT, §4a), bårdlav (S, T), nattskärra (T, §4), buskskvätta (§4), dvärgpipistrell (§4a), kråka (§4), röd glada (§4), större brunfladdermus (§4a), sångsvan (§4) och törnskata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kornknarr (EN, §4), hussvala (VU, §4), tofsvipa (VU, §4), tornseglare (VU, §4), duvhök (NT, §4), ladusvala (NT, §4), nordfladdermus (NT, §4a), nattskärra (T, §4), buskskvätta (§4), dvärgpipistrell (§4a), kråka (§4), röd glada (§4), större brunfladdermus (§4a), sångsvan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