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Detta dokument behandlar höga naturvärden i avverkningsanmälan A 30854-2024 i Marks kommun som inkom 2024-07-24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6373370, E 347181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kornknarr (EN, §4), hussvala (VU, §4), tofsvipa (VU, §4), tornseglare (VU, §4), duvhök (NT, §4), ladusvala (NT, §4), nordfladdermus (NT, §4a), bårdlav (S, T), nattskärra (T, §4), buskskvätta (§4), dvärgpipistrell (§4a), kråka (§4), röd glada (§4), större brunfladdermus (§4a), sångsvan (§4) och törnskata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 hussvala (VU, §4), tofsvipa (VU, §4), tornseglare (VU, §4), duvhök (NT, §4), ladusvala (NT, §4), nordfladdermus (NT, §4a), nattskärra (T, §4), buskskvätta (§4), dvärgpipistrell (§4a), kråka (§4), röd glada (§4), större brunfladdermus (§4a), sångsvan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