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33016-2024 i Götene kommun</w:t>
      </w:r>
    </w:p>
    <w:p>
      <w:r>
        <w:t>Detta dokument behandlar höga naturvärden i avverkningsanmälan A 33016-2024 i Götene kommun. Denna avverkningsanmälan inkom 2024-08-13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grönfink (EN, §4), tornseglare (EN, §4), tofsvipa (VU, §4), björktrast (NT, §4), duvhök (NT, §4), entita (NT, §4), fiskmås (NT, §4), fjällvråk (NT, §4), grönsångare (NT, §4), gulsparv (NT, §4), kråka (NT, §4), svartvit flugsnappare (NT, §4) och talltita (NT, §4). Av dessa är 13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7676"/>
            <wp:docPr id="1" name="Picture 1"/>
            <wp:cNvGraphicFramePr>
              <a:graphicFrameLocks noChangeAspect="1"/>
            </wp:cNvGraphicFramePr>
            <a:graphic>
              <a:graphicData uri="http://schemas.openxmlformats.org/drawingml/2006/picture">
                <pic:pic>
                  <pic:nvPicPr>
                    <pic:cNvPr id="0" name="A 33016-2024 karta.png"/>
                    <pic:cNvPicPr/>
                  </pic:nvPicPr>
                  <pic:blipFill>
                    <a:blip r:embed="rId16"/>
                    <a:stretch>
                      <a:fillRect/>
                    </a:stretch>
                  </pic:blipFill>
                  <pic:spPr>
                    <a:xfrm>
                      <a:off x="0" y="0"/>
                      <a:ext cx="5486400" cy="6567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6498298, E 418019 i SWEREF 99 TM.</w:t>
      </w:r>
    </w:p>
    <w:p>
      <w:pPr>
        <w:pStyle w:val="Heading1"/>
      </w:pPr>
      <w:r>
        <w:t>Fridlysta arter</w:t>
      </w:r>
    </w:p>
    <w:p>
      <w:r>
        <w:t>Följande fridlysta arter har sina livsmiljöer och växtplatser i den avverkningsanmälda skogen: grönfink (EN, §4), tornseglare (EN, §4), tofsvipa (VU, §4), björktrast (NT, §4), duvhök (NT, §4), entita (NT, §4), fiskmås (NT, §4), fjällvråk (NT, §4), grönsångare (NT, §4), gulsparv (NT, §4), kråka (NT, §4), svartvit flugsnappare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