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28254-2023 i Götene kommun</w:t>
      </w:r>
    </w:p>
    <w:p>
      <w:r>
        <w:t>Detta klagomål behandlar höga naturvärden i avverkningsanmälan A 28254-2023 i Götene kommun som inkom 2023-06-22 och omfattar 11,6 ha.</w:t>
      </w:r>
    </w:p>
    <w:p>
      <w:pPr>
        <w:pStyle w:val="Caption"/>
      </w:pPr>
      <w:r>
        <w:drawing>
          <wp:inline xmlns:a="http://schemas.openxmlformats.org/drawingml/2006/main" xmlns:pic="http://schemas.openxmlformats.org/drawingml/2006/picture">
            <wp:extent cx="5013909" cy="5724000"/>
            <wp:docPr id="1" name="Picture 1"/>
            <wp:cNvGraphicFramePr>
              <a:graphicFrameLocks noChangeAspect="1"/>
            </wp:cNvGraphicFramePr>
            <a:graphic>
              <a:graphicData uri="http://schemas.openxmlformats.org/drawingml/2006/picture">
                <pic:pic>
                  <pic:nvPicPr>
                    <pic:cNvPr id="0" name="A 28254-2023 karta.png"/>
                    <pic:cNvPicPr/>
                  </pic:nvPicPr>
                  <pic:blipFill>
                    <a:blip r:embed="rId16"/>
                    <a:stretch>
                      <a:fillRect/>
                    </a:stretch>
                  </pic:blipFill>
                  <pic:spPr>
                    <a:xfrm>
                      <a:off x="0" y="0"/>
                      <a:ext cx="501390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6505517, E 418689 i SWEREF 99 TM.</w:t>
      </w:r>
    </w:p>
    <w:p>
      <w:r>
        <w:t>I och inom 23 meter från avverkningsanmälan finns fynd av 16 naturvårdsarter, varav 4 är rödlistade, 7 är fridlysta, 2 är typiska (T) och 8 är signalarter (S): rosetticka (VU), brunlångöra (NT, §4a), dammfladdermus (NT, §4a), nordfladdermus (NT, §4a), aprikosfingersvamp (S), blodvaxing (S), gulpudrad spiklav (S, T), slemjordtunga (S), sprödvaxing (S), svart jordtunga (S), vitvaxing agg. (S), ängsvaxing agg. (S), spillkråka (T, §4),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