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14296-2023 i Götene kommun</w:t>
      </w:r>
    </w:p>
    <w:p>
      <w:r>
        <w:t>Detta klagomål behandlar höga naturvärden i avverkningsanmälan A 14296-2023 i Götene kommun som inkom 2023-03-26 och omfattar 1,7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14296-2023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6484606, E 419679 i SWEREF 99 TM.</w:t>
      </w:r>
    </w:p>
    <w:p>
      <w:r>
        <w:t>Inom 12 meter från avverkningsanmälan finns fynd av 1 naturvårdsarter, varav 1 är rödlistad och 1 är fridlyst: pilgrimsfalk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Pilgrimsfalk (VU, §4)</w:t>
      </w:r>
      <w:r>
        <w:t xml:space="preserve"> är rödlistad som sårbar och är upptagen i bilaga 1 EU:s fågeldirektiv. Den har minskat med 17.5 (15–20) % under de senaste 18 åren och minskningstakten överstiger gränsvärdet för sårbar (VU). Pilgrimsfalken häckar i branta klippväggar, där boet läggs på en öppen, svåråtkomlig klipphylla. Många av de bebodda klippstupen gränsar till skogsmark. Markhäckningar förekommer relativt frekvent på stora, blöta myrar i Norrbottens län. Tidigare var häckningar i risbon, framför allt i fiskgjusebon, förhållandevis vanligt men förekommer numera sällan. Lämna en skyddszon med träd mot häckningsplatsen (klippbranten), så att häckningsmiljön behålls oförändrad. Eventuell skog i själva rasbranten lämnas orörd. Vid häckning i risbon, avstå från avverkning inom 100 meter från boet.  Hänsyn bör tas även till äldre, dokumenterade häckningsplatser även om de för tillfället inte är i bruk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