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32140-2026 i Götene kommun</w:t>
      </w:r>
    </w:p>
    <w:p>
      <w:r>
        <w:t>Detta klagomål behandlar höga naturvärden i avverkningsanmälan A 32140-2026 i Götene kommun som inkom 2026-07-31 och omfattar 9,8 ha.</w:t>
      </w:r>
    </w:p>
    <w:p>
      <w:pPr>
        <w:pStyle w:val="Caption"/>
      </w:pPr>
      <w:r>
        <w:drawing>
          <wp:inline xmlns:a="http://schemas.openxmlformats.org/drawingml/2006/main" xmlns:pic="http://schemas.openxmlformats.org/drawingml/2006/picture">
            <wp:extent cx="5267653" cy="5724000"/>
            <wp:docPr id="1" name="Picture 1"/>
            <wp:cNvGraphicFramePr>
              <a:graphicFrameLocks noChangeAspect="1"/>
            </wp:cNvGraphicFramePr>
            <a:graphic>
              <a:graphicData uri="http://schemas.openxmlformats.org/drawingml/2006/picture">
                <pic:pic>
                  <pic:nvPicPr>
                    <pic:cNvPr id="0" name="A 32140-2026 karta.png"/>
                    <pic:cNvPicPr/>
                  </pic:nvPicPr>
                  <pic:blipFill>
                    <a:blip r:embed="rId16"/>
                    <a:stretch>
                      <a:fillRect/>
                    </a:stretch>
                  </pic:blipFill>
                  <pic:spPr>
                    <a:xfrm>
                      <a:off x="0" y="0"/>
                      <a:ext cx="5267653" cy="5724000"/>
                    </a:xfrm>
                    <a:prstGeom prst="rect"/>
                  </pic:spPr>
                </pic:pic>
              </a:graphicData>
            </a:graphic>
          </wp:inline>
        </w:drawing>
      </w:r>
    </w:p>
    <w:p>
      <w:pPr>
        <w:pStyle w:val="Caption"/>
        <w:spacing w:after="240"/>
      </w:pPr>
      <w:r>
        <w:t>Figur 1. Fyndplatser för naturvårdsarter inom 9 meter från avverkningsanmälan. Markörer utan svart kant är placerade på fyndplatsen. Markörer med svart kant är placerade vid sidan av fyndplatsen och har ett svart streck som visar fyndplatsens exakta position. Kartans mittpunktskoordinat är N 6504757, E 418657 i SWEREF 99 TM.</w:t>
      </w:r>
    </w:p>
    <w:p>
      <w:r>
        <w:t>Inom 9 meter från avverkningsanmälan finns fynd av 2 naturvårdsarter, varav 2 är typiska (T) och 2 är signalarter (S): guldlockmossa (S, T) och rostfläck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p>
      <w:r>
        <w:rPr>
          <w:b/>
        </w:rPr>
        <w:t xml:space="preserve">Rostfläck </w:t>
      </w:r>
      <w:r>
        <w:t xml:space="preserve">signalerar framför allt höga naturvärden i östra Sverige samt norr om den naturliga norrlandsgränsen. Arten indikerar här skogsmiljöer som under lång tid haft ett konstant fuktigt mikroklimat. Rika förekomster i Norrland visar sannolikt på bestånd med långvarig kontinuitet av gamla träd. När laven påträffas i alkärr signalerar den höga naturvärden inom hela sitt utbredningsområde. Rostfläck är typisk art för </w:t>
      </w:r>
      <w:r>
        <w:rPr>
          <w:i/>
        </w:rPr>
        <w:t xml:space="preserve">9190 Näringsfattig ekskog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