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23414-2023 i Götene kommun</w:t>
      </w:r>
    </w:p>
    <w:p>
      <w:r>
        <w:t>Denna tillsynsbegäran behandlar höga naturvärden i avverkningsanmälan A 23414-2023 i Götene kommun som inkom 2023-05-30 och omfattar 3,1 ha.</w:t>
      </w:r>
    </w:p>
    <w:p>
      <w:pPr>
        <w:pStyle w:val="Caption"/>
      </w:pPr>
      <w:r>
        <w:drawing>
          <wp:inline xmlns:a="http://schemas.openxmlformats.org/drawingml/2006/main" xmlns:pic="http://schemas.openxmlformats.org/drawingml/2006/picture">
            <wp:extent cx="5486400" cy="4585198"/>
            <wp:docPr id="1" name="Picture 1"/>
            <wp:cNvGraphicFramePr>
              <a:graphicFrameLocks noChangeAspect="1"/>
            </wp:cNvGraphicFramePr>
            <a:graphic>
              <a:graphicData uri="http://schemas.openxmlformats.org/drawingml/2006/picture">
                <pic:pic>
                  <pic:nvPicPr>
                    <pic:cNvPr id="0" name="A 23414-2023 karta.png"/>
                    <pic:cNvPicPr/>
                  </pic:nvPicPr>
                  <pic:blipFill>
                    <a:blip r:embed="rId16"/>
                    <a:stretch>
                      <a:fillRect/>
                    </a:stretch>
                  </pic:blipFill>
                  <pic:spPr>
                    <a:xfrm>
                      <a:off x="0" y="0"/>
                      <a:ext cx="5486400" cy="458519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6499498, E 406635 i SWEREF 99 TM.</w:t>
      </w:r>
    </w:p>
    <w:p>
      <w:r>
        <w:t>I och inom 13 meter från avverkningsanmälan finns fynd av 6 naturvårdsarter, varav 4 är rödlistade, 1 är fridlyst, 3 är typiska (T) och 2 är signalarter (S): ask (EN), pärluggla (EN, T, §4), gullpudra (NT, T), svartöra (NT, T), kragjordstjärna (S) och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