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50366-2025 i Götene kommun</w:t>
      </w:r>
    </w:p>
    <w:p>
      <w:r>
        <w:t>Detta dokument behandlar höga naturvärden i avverkningsanmälan A 50366-2025 i Götene kommun. Denna avverkningsanmälan inkom 2025-10-14 13:40:14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5407"/>
            <wp:docPr id="1" name="Picture 1"/>
            <wp:cNvGraphicFramePr>
              <a:graphicFrameLocks noChangeAspect="1"/>
            </wp:cNvGraphicFramePr>
            <a:graphic>
              <a:graphicData uri="http://schemas.openxmlformats.org/drawingml/2006/picture">
                <pic:pic>
                  <pic:nvPicPr>
                    <pic:cNvPr id="0" name="A 50366-2025 karta.png"/>
                    <pic:cNvPicPr/>
                  </pic:nvPicPr>
                  <pic:blipFill>
                    <a:blip r:embed="rId16"/>
                    <a:stretch>
                      <a:fillRect/>
                    </a:stretch>
                  </pic:blipFill>
                  <pic:spPr>
                    <a:xfrm>
                      <a:off x="0" y="0"/>
                      <a:ext cx="5486400" cy="4185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6501967, E 413698 i SWEREF 99 TM.</w:t>
      </w:r>
    </w:p>
    <w:p>
      <w:r>
        <w:rPr>
          <w:b/>
        </w:rPr>
        <w:t>Korallticka (NT)</w:t>
      </w:r>
      <w:r>
        <w:t xml:space="preserve"> visar på gamla ekar och lövskogsområden med gamla träd som har höga naturvärden. Värdträd, passande värdträd och olikåldriga bestånd med grov ek i hagmarks- och skogsmiljö sparas. För att säkerställa ekberoende arter på lång sikt måste fler bestånd med ek skyddas och skötas så att träden erhåller grova dimensioner och hög ålder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