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21931-2026 i Töreboda kommun</w:t>
      </w:r>
    </w:p>
    <w:p>
      <w:r>
        <w:t>Denna tillsynsbegäran behandlar höga naturvärden i avverkningsanmälan A 21931-2026 i Töreboda kommun som inkom 2026-05-08 och omfattar 6,2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21931-2026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6505478, E 442150 i SWEREF 99 TM.</w:t>
      </w:r>
    </w:p>
    <w:p>
      <w:r>
        <w:t>I och inom 19 meter från avverkningsanmälan finns fynd av 4 naturvårdsarter, varav 1 är rödlistad, 1 är fridlyst, 2 är typiska (T) och 2 är signalarter (S): solfingersvamp (VU), hasselticka (S, T), lindskål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Solfingersvamp (VU) </w:t>
      </w:r>
      <w:r>
        <w:t>bildar mykorrhiza med ek, lind och bok, kanske även hassel i luckiga, äldre ädellövskogar på kalkrik eller grönstenspåverkad mark. Arten hotas främst av skogsavverkning. Områdesskydd är en viktig åtgärd för att bevara artens förekomster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